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B4281" w:rsidRDefault="0024197D">
      <w:pPr>
        <w:pStyle w:val="Heading1"/>
        <w:numPr>
          <w:ilvl w:val="0"/>
          <w:numId w:val="4"/>
        </w:numPr>
      </w:pPr>
      <w:r>
        <w:t>Grupo Homogéneo: Cultivo de caña de azúcar</w:t>
      </w:r>
    </w:p>
    <w:p w:rsidR="004B4281" w:rsidRDefault="0024197D">
      <w:r>
        <w:t xml:space="preserve">El grupo homogéneo Cultivo de caña de azúcar engloba el CIUU 0124 y se desglosa en dos categorías conocidas como caña panelera y caña de azúcar (producción de azúcar y biocombustible), distinguiéndose por la metodología empleada en el uso final del jugo de caña. La caña de azúcar para hacer panela se suele plantar en pequeñas extensiones en zonas de montaña, y la caña de azúcar usada en los grandes ingenios azucareros, se siembra en zonas planas en grandes extensiones. </w:t>
      </w:r>
    </w:p>
    <w:p w:rsidR="004B4281" w:rsidRDefault="004B4281"/>
    <w:p w:rsidR="004B4281" w:rsidRDefault="0024197D">
      <w:r>
        <w:t xml:space="preserve">En este contexto, el proceso productivo que se va a evaluar tiene como producto final la caña de azúcar cortada, la cual es la materia prima que ingresa a los ingenios azucareros y trapiches para el proceso de beneficia miento que incluye procesos de molido, extracción, ebullición de jugo de caña. </w:t>
      </w:r>
    </w:p>
    <w:p w:rsidR="004B4281" w:rsidRDefault="004B4281"/>
    <w:p w:rsidR="004B4281" w:rsidRDefault="0024197D">
      <w:r>
        <w:t>Como se detalla en la Tabla 1, el cultivo de caña de azúcar se encuentra principalmente en el piso térmico cálido y templado y el principal residuo de la producción primaria son hojas y restos de cosecha.</w:t>
      </w:r>
    </w:p>
    <w:p w:rsidR="004B4281" w:rsidRDefault="004B4281"/>
    <w:p w:rsidR="004B4281" w:rsidRDefault="0024197D">
      <w:pPr>
        <w:pBdr>
          <w:top w:val="nil"/>
          <w:left w:val="nil"/>
          <w:bottom w:val="nil"/>
          <w:right w:val="nil"/>
          <w:between w:val="nil"/>
        </w:pBdr>
        <w:jc w:val="center"/>
      </w:pPr>
      <w:bookmarkStart w:id="0" w:name="_heading=h.gjdgxs" w:colFirst="0" w:colLast="0"/>
      <w:bookmarkEnd w:id="0"/>
      <w:r>
        <w:rPr>
          <w:b/>
        </w:rPr>
        <w:t>Tabla 1.</w:t>
      </w:r>
      <w:r>
        <w:t xml:space="preserve">  Descripción del grupo CIIU</w:t>
      </w:r>
    </w:p>
    <w:tbl>
      <w:tblPr>
        <w:tblStyle w:val="a"/>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71"/>
        <w:gridCol w:w="2365"/>
        <w:gridCol w:w="1019"/>
        <w:gridCol w:w="1675"/>
        <w:gridCol w:w="1864"/>
      </w:tblGrid>
      <w:tr w:rsidR="004B4281">
        <w:tc>
          <w:tcPr>
            <w:tcW w:w="1571" w:type="dxa"/>
            <w:shd w:val="clear" w:color="auto" w:fill="25A18E"/>
            <w:vAlign w:val="center"/>
          </w:tcPr>
          <w:p w:rsidR="004B4281" w:rsidRDefault="0024197D">
            <w:pPr>
              <w:jc w:val="center"/>
              <w:rPr>
                <w:b/>
                <w:sz w:val="20"/>
                <w:szCs w:val="20"/>
              </w:rPr>
            </w:pPr>
            <w:r>
              <w:rPr>
                <w:b/>
                <w:sz w:val="20"/>
                <w:szCs w:val="20"/>
              </w:rPr>
              <w:t>Descripción</w:t>
            </w:r>
          </w:p>
        </w:tc>
        <w:tc>
          <w:tcPr>
            <w:tcW w:w="2365" w:type="dxa"/>
            <w:shd w:val="clear" w:color="auto" w:fill="25A18E"/>
            <w:vAlign w:val="center"/>
          </w:tcPr>
          <w:p w:rsidR="004B4281" w:rsidRDefault="0024197D">
            <w:pPr>
              <w:jc w:val="center"/>
              <w:rPr>
                <w:b/>
                <w:sz w:val="20"/>
                <w:szCs w:val="20"/>
              </w:rPr>
            </w:pPr>
            <w:r>
              <w:rPr>
                <w:b/>
                <w:sz w:val="20"/>
                <w:szCs w:val="20"/>
              </w:rPr>
              <w:t>Producto</w:t>
            </w:r>
          </w:p>
        </w:tc>
        <w:tc>
          <w:tcPr>
            <w:tcW w:w="1019" w:type="dxa"/>
            <w:shd w:val="clear" w:color="auto" w:fill="25A18E"/>
            <w:vAlign w:val="center"/>
          </w:tcPr>
          <w:p w:rsidR="004B4281" w:rsidRDefault="0024197D">
            <w:pPr>
              <w:jc w:val="center"/>
              <w:rPr>
                <w:b/>
                <w:sz w:val="20"/>
                <w:szCs w:val="20"/>
              </w:rPr>
            </w:pPr>
            <w:r>
              <w:rPr>
                <w:b/>
                <w:sz w:val="20"/>
                <w:szCs w:val="20"/>
              </w:rPr>
              <w:t>Residuos</w:t>
            </w:r>
          </w:p>
        </w:tc>
        <w:tc>
          <w:tcPr>
            <w:tcW w:w="1675" w:type="dxa"/>
            <w:shd w:val="clear" w:color="auto" w:fill="25A18E"/>
            <w:vAlign w:val="center"/>
          </w:tcPr>
          <w:p w:rsidR="004B4281" w:rsidRDefault="0024197D">
            <w:pPr>
              <w:jc w:val="center"/>
              <w:rPr>
                <w:b/>
                <w:sz w:val="20"/>
                <w:szCs w:val="20"/>
              </w:rPr>
            </w:pPr>
            <w:r>
              <w:rPr>
                <w:b/>
                <w:sz w:val="20"/>
                <w:szCs w:val="20"/>
              </w:rPr>
              <w:t>Piso térmico</w:t>
            </w:r>
          </w:p>
        </w:tc>
        <w:tc>
          <w:tcPr>
            <w:tcW w:w="1864" w:type="dxa"/>
            <w:shd w:val="clear" w:color="auto" w:fill="25A18E"/>
            <w:vAlign w:val="center"/>
          </w:tcPr>
          <w:p w:rsidR="004B4281" w:rsidRDefault="0024197D">
            <w:pPr>
              <w:jc w:val="center"/>
              <w:rPr>
                <w:b/>
                <w:sz w:val="20"/>
                <w:szCs w:val="20"/>
              </w:rPr>
            </w:pPr>
            <w:r>
              <w:rPr>
                <w:b/>
                <w:sz w:val="20"/>
                <w:szCs w:val="20"/>
              </w:rPr>
              <w:t>Grupo homogéneo</w:t>
            </w:r>
          </w:p>
        </w:tc>
      </w:tr>
      <w:tr w:rsidR="004B4281">
        <w:tc>
          <w:tcPr>
            <w:tcW w:w="1571" w:type="dxa"/>
            <w:vMerge w:val="restart"/>
          </w:tcPr>
          <w:p w:rsidR="004B4281" w:rsidRDefault="0024197D">
            <w:pPr>
              <w:jc w:val="center"/>
              <w:rPr>
                <w:sz w:val="20"/>
                <w:szCs w:val="20"/>
              </w:rPr>
            </w:pPr>
            <w:r>
              <w:rPr>
                <w:sz w:val="20"/>
                <w:szCs w:val="20"/>
              </w:rPr>
              <w:t>Cultivo de caña de azúcar</w:t>
            </w:r>
          </w:p>
        </w:tc>
        <w:tc>
          <w:tcPr>
            <w:tcW w:w="2365" w:type="dxa"/>
          </w:tcPr>
          <w:p w:rsidR="004B4281" w:rsidRDefault="0024197D">
            <w:pPr>
              <w:jc w:val="center"/>
              <w:rPr>
                <w:sz w:val="20"/>
                <w:szCs w:val="20"/>
              </w:rPr>
            </w:pPr>
            <w:r>
              <w:rPr>
                <w:sz w:val="20"/>
                <w:szCs w:val="20"/>
              </w:rPr>
              <w:t>Caña panelera</w:t>
            </w:r>
          </w:p>
        </w:tc>
        <w:tc>
          <w:tcPr>
            <w:tcW w:w="1019" w:type="dxa"/>
            <w:vMerge w:val="restart"/>
            <w:vAlign w:val="center"/>
          </w:tcPr>
          <w:p w:rsidR="004B4281" w:rsidRDefault="0024197D">
            <w:pPr>
              <w:jc w:val="center"/>
              <w:rPr>
                <w:sz w:val="20"/>
                <w:szCs w:val="20"/>
              </w:rPr>
            </w:pPr>
            <w:r>
              <w:rPr>
                <w:sz w:val="20"/>
                <w:szCs w:val="20"/>
              </w:rPr>
              <w:t>Hojas y restos de cosecha</w:t>
            </w:r>
          </w:p>
        </w:tc>
        <w:tc>
          <w:tcPr>
            <w:tcW w:w="1675" w:type="dxa"/>
            <w:vMerge w:val="restart"/>
            <w:vAlign w:val="center"/>
          </w:tcPr>
          <w:p w:rsidR="004B4281" w:rsidRDefault="0024197D">
            <w:pPr>
              <w:jc w:val="center"/>
              <w:rPr>
                <w:sz w:val="20"/>
                <w:szCs w:val="20"/>
              </w:rPr>
            </w:pPr>
            <w:r>
              <w:rPr>
                <w:sz w:val="20"/>
                <w:szCs w:val="20"/>
              </w:rPr>
              <w:t>Cálido/Templado</w:t>
            </w:r>
          </w:p>
        </w:tc>
        <w:tc>
          <w:tcPr>
            <w:tcW w:w="1864" w:type="dxa"/>
            <w:vMerge w:val="restart"/>
            <w:vAlign w:val="center"/>
          </w:tcPr>
          <w:p w:rsidR="004B4281" w:rsidRDefault="0024197D">
            <w:pPr>
              <w:jc w:val="center"/>
              <w:rPr>
                <w:sz w:val="20"/>
                <w:szCs w:val="20"/>
              </w:rPr>
            </w:pPr>
            <w:r>
              <w:rPr>
                <w:sz w:val="20"/>
                <w:szCs w:val="20"/>
              </w:rPr>
              <w:t>Caña de azúcar</w:t>
            </w:r>
          </w:p>
        </w:tc>
      </w:tr>
      <w:tr w:rsidR="004B4281">
        <w:tc>
          <w:tcPr>
            <w:tcW w:w="1571" w:type="dxa"/>
            <w:vMerge/>
          </w:tcPr>
          <w:p w:rsidR="004B4281" w:rsidRDefault="004B4281">
            <w:pPr>
              <w:widowControl w:val="0"/>
              <w:pBdr>
                <w:top w:val="nil"/>
                <w:left w:val="nil"/>
                <w:bottom w:val="nil"/>
                <w:right w:val="nil"/>
                <w:between w:val="nil"/>
              </w:pBdr>
              <w:spacing w:line="276" w:lineRule="auto"/>
              <w:jc w:val="left"/>
              <w:rPr>
                <w:sz w:val="20"/>
                <w:szCs w:val="20"/>
              </w:rPr>
            </w:pPr>
          </w:p>
        </w:tc>
        <w:tc>
          <w:tcPr>
            <w:tcW w:w="2365" w:type="dxa"/>
          </w:tcPr>
          <w:p w:rsidR="004B4281" w:rsidRDefault="0024197D">
            <w:pPr>
              <w:rPr>
                <w:sz w:val="20"/>
                <w:szCs w:val="20"/>
              </w:rPr>
            </w:pPr>
            <w:r>
              <w:rPr>
                <w:sz w:val="20"/>
                <w:szCs w:val="20"/>
              </w:rPr>
              <w:t>Caña de azúcar (Ingenios)</w:t>
            </w:r>
          </w:p>
        </w:tc>
        <w:tc>
          <w:tcPr>
            <w:tcW w:w="1019" w:type="dxa"/>
            <w:vMerge/>
            <w:vAlign w:val="center"/>
          </w:tcPr>
          <w:p w:rsidR="004B4281" w:rsidRDefault="004B4281">
            <w:pPr>
              <w:widowControl w:val="0"/>
              <w:pBdr>
                <w:top w:val="nil"/>
                <w:left w:val="nil"/>
                <w:bottom w:val="nil"/>
                <w:right w:val="nil"/>
                <w:between w:val="nil"/>
              </w:pBdr>
              <w:spacing w:line="276" w:lineRule="auto"/>
              <w:jc w:val="left"/>
              <w:rPr>
                <w:sz w:val="20"/>
                <w:szCs w:val="20"/>
              </w:rPr>
            </w:pPr>
          </w:p>
        </w:tc>
        <w:tc>
          <w:tcPr>
            <w:tcW w:w="1675" w:type="dxa"/>
            <w:vMerge/>
            <w:vAlign w:val="center"/>
          </w:tcPr>
          <w:p w:rsidR="004B4281" w:rsidRDefault="004B4281">
            <w:pPr>
              <w:widowControl w:val="0"/>
              <w:pBdr>
                <w:top w:val="nil"/>
                <w:left w:val="nil"/>
                <w:bottom w:val="nil"/>
                <w:right w:val="nil"/>
                <w:between w:val="nil"/>
              </w:pBdr>
              <w:spacing w:line="276" w:lineRule="auto"/>
              <w:jc w:val="left"/>
              <w:rPr>
                <w:sz w:val="20"/>
                <w:szCs w:val="20"/>
              </w:rPr>
            </w:pPr>
          </w:p>
        </w:tc>
        <w:tc>
          <w:tcPr>
            <w:tcW w:w="1864" w:type="dxa"/>
            <w:vMerge/>
            <w:vAlign w:val="center"/>
          </w:tcPr>
          <w:p w:rsidR="004B4281" w:rsidRDefault="004B4281">
            <w:pPr>
              <w:widowControl w:val="0"/>
              <w:pBdr>
                <w:top w:val="nil"/>
                <w:left w:val="nil"/>
                <w:bottom w:val="nil"/>
                <w:right w:val="nil"/>
                <w:between w:val="nil"/>
              </w:pBdr>
              <w:spacing w:line="276" w:lineRule="auto"/>
              <w:jc w:val="left"/>
              <w:rPr>
                <w:sz w:val="20"/>
                <w:szCs w:val="20"/>
              </w:rPr>
            </w:pPr>
          </w:p>
        </w:tc>
      </w:tr>
    </w:tbl>
    <w:p w:rsidR="004B4281" w:rsidRDefault="004B4281">
      <w:pPr>
        <w:pBdr>
          <w:top w:val="nil"/>
          <w:left w:val="nil"/>
          <w:bottom w:val="nil"/>
          <w:right w:val="nil"/>
          <w:between w:val="nil"/>
        </w:pBdr>
        <w:jc w:val="center"/>
        <w:rPr>
          <w:rFonts w:ascii="Calibri" w:eastAsia="Calibri" w:hAnsi="Calibri" w:cs="Calibri"/>
        </w:rPr>
      </w:pPr>
    </w:p>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24197D">
      <w:pPr>
        <w:pStyle w:val="Heading1"/>
        <w:numPr>
          <w:ilvl w:val="0"/>
          <w:numId w:val="4"/>
        </w:numPr>
      </w:pPr>
      <w:bookmarkStart w:id="1" w:name="_heading=h.30j0zll" w:colFirst="0" w:colLast="0"/>
      <w:bookmarkEnd w:id="1"/>
      <w:r>
        <w:t>Generalidades del sector</w:t>
      </w:r>
    </w:p>
    <w:p w:rsidR="00F170AD" w:rsidRDefault="0024197D">
      <w:r>
        <w:t xml:space="preserve">Basados en las estadísticas de AGRONET para el año 2022, se define la información sobre área sembrada, producción y rendimiento a nivel nacional. Como se ilustra en la Tabla 2, el área total sembrada de Caña de azúcar en Colombia asciende a </w:t>
      </w:r>
      <w:r w:rsidR="00F170AD">
        <w:t>269.768</w:t>
      </w:r>
      <w:r>
        <w:t xml:space="preserve"> hectáreas. Adicionalmente a lo expuesto, el rendimiento global nacional promedio del cultivo de Caña de azúcar alcanza las </w:t>
      </w:r>
      <w:r w:rsidR="00F170AD">
        <w:t>118,19</w:t>
      </w:r>
    </w:p>
    <w:p w:rsidR="004B4281" w:rsidRDefault="0024197D">
      <w:r>
        <w:t xml:space="preserve"> toneladas por hectárea.</w:t>
      </w:r>
    </w:p>
    <w:p w:rsidR="004B4281" w:rsidRDefault="004B4281"/>
    <w:p w:rsidR="004B4281" w:rsidRDefault="0024197D">
      <w:pPr>
        <w:pBdr>
          <w:top w:val="nil"/>
          <w:left w:val="nil"/>
          <w:bottom w:val="nil"/>
          <w:right w:val="nil"/>
          <w:between w:val="nil"/>
        </w:pBdr>
        <w:jc w:val="center"/>
      </w:pPr>
      <w:r>
        <w:rPr>
          <w:b/>
        </w:rPr>
        <w:t xml:space="preserve">Tabla 2. </w:t>
      </w:r>
      <w:r>
        <w:t xml:space="preserve"> Datos nacionales de la siembra de Caña de azúcar</w:t>
      </w:r>
    </w:p>
    <w:tbl>
      <w:tblPr>
        <w:tblStyle w:val="a0"/>
        <w:tblW w:w="614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78"/>
        <w:gridCol w:w="2197"/>
        <w:gridCol w:w="2074"/>
      </w:tblGrid>
      <w:tr w:rsidR="00F170AD" w:rsidTr="00F170AD">
        <w:trPr>
          <w:jc w:val="center"/>
        </w:trPr>
        <w:tc>
          <w:tcPr>
            <w:tcW w:w="1878" w:type="dxa"/>
            <w:shd w:val="clear" w:color="auto" w:fill="25A18E"/>
          </w:tcPr>
          <w:p w:rsidR="00F170AD" w:rsidRDefault="00F170AD">
            <w:pPr>
              <w:jc w:val="center"/>
              <w:rPr>
                <w:b/>
                <w:sz w:val="20"/>
                <w:szCs w:val="20"/>
              </w:rPr>
            </w:pPr>
            <w:r>
              <w:rPr>
                <w:b/>
                <w:sz w:val="20"/>
                <w:szCs w:val="20"/>
              </w:rPr>
              <w:t>Cultivo</w:t>
            </w:r>
          </w:p>
        </w:tc>
        <w:tc>
          <w:tcPr>
            <w:tcW w:w="2197" w:type="dxa"/>
            <w:shd w:val="clear" w:color="auto" w:fill="25A18E"/>
            <w:vAlign w:val="center"/>
          </w:tcPr>
          <w:p w:rsidR="00F170AD" w:rsidRDefault="00F170AD">
            <w:pPr>
              <w:jc w:val="center"/>
              <w:rPr>
                <w:b/>
                <w:i/>
                <w:sz w:val="20"/>
                <w:szCs w:val="20"/>
              </w:rPr>
            </w:pPr>
            <w:r>
              <w:rPr>
                <w:b/>
                <w:sz w:val="20"/>
                <w:szCs w:val="20"/>
              </w:rPr>
              <w:t>Área sembrada (Ha)</w:t>
            </w:r>
          </w:p>
        </w:tc>
        <w:tc>
          <w:tcPr>
            <w:tcW w:w="2074" w:type="dxa"/>
            <w:shd w:val="clear" w:color="auto" w:fill="25A18E"/>
          </w:tcPr>
          <w:p w:rsidR="00F170AD" w:rsidRDefault="00F170AD">
            <w:pPr>
              <w:jc w:val="center"/>
              <w:rPr>
                <w:b/>
                <w:sz w:val="20"/>
                <w:szCs w:val="20"/>
              </w:rPr>
            </w:pPr>
            <w:r>
              <w:rPr>
                <w:b/>
                <w:sz w:val="20"/>
                <w:szCs w:val="20"/>
              </w:rPr>
              <w:t>Rendimiento (Ton/Ha)</w:t>
            </w:r>
          </w:p>
        </w:tc>
      </w:tr>
      <w:tr w:rsidR="00F170AD" w:rsidTr="00F170AD">
        <w:trPr>
          <w:jc w:val="center"/>
        </w:trPr>
        <w:tc>
          <w:tcPr>
            <w:tcW w:w="1878" w:type="dxa"/>
          </w:tcPr>
          <w:p w:rsidR="00F170AD" w:rsidRDefault="00F170AD">
            <w:pPr>
              <w:jc w:val="center"/>
              <w:rPr>
                <w:sz w:val="20"/>
                <w:szCs w:val="20"/>
              </w:rPr>
            </w:pPr>
            <w:r>
              <w:rPr>
                <w:sz w:val="20"/>
                <w:szCs w:val="20"/>
              </w:rPr>
              <w:t>Caña de azúcar</w:t>
            </w:r>
          </w:p>
        </w:tc>
        <w:tc>
          <w:tcPr>
            <w:tcW w:w="2197" w:type="dxa"/>
            <w:tcMar>
              <w:top w:w="0" w:type="dxa"/>
              <w:left w:w="40" w:type="dxa"/>
              <w:bottom w:w="0" w:type="dxa"/>
              <w:right w:w="40" w:type="dxa"/>
            </w:tcMar>
          </w:tcPr>
          <w:p w:rsidR="00F170AD" w:rsidRDefault="00F170AD">
            <w:pPr>
              <w:widowControl w:val="0"/>
              <w:spacing w:line="276" w:lineRule="auto"/>
              <w:jc w:val="center"/>
              <w:rPr>
                <w:sz w:val="20"/>
                <w:szCs w:val="20"/>
              </w:rPr>
            </w:pPr>
            <w:r>
              <w:rPr>
                <w:sz w:val="20"/>
                <w:szCs w:val="20"/>
              </w:rPr>
              <w:t>269,768</w:t>
            </w:r>
          </w:p>
        </w:tc>
        <w:tc>
          <w:tcPr>
            <w:tcW w:w="2074" w:type="dxa"/>
            <w:tcMar>
              <w:top w:w="0" w:type="dxa"/>
              <w:left w:w="40" w:type="dxa"/>
              <w:bottom w:w="0" w:type="dxa"/>
              <w:right w:w="40" w:type="dxa"/>
            </w:tcMar>
          </w:tcPr>
          <w:p w:rsidR="00F170AD" w:rsidRDefault="00F170AD">
            <w:pPr>
              <w:widowControl w:val="0"/>
              <w:spacing w:line="276" w:lineRule="auto"/>
              <w:jc w:val="center"/>
              <w:rPr>
                <w:sz w:val="20"/>
                <w:szCs w:val="20"/>
              </w:rPr>
            </w:pPr>
            <w:r>
              <w:rPr>
                <w:sz w:val="20"/>
                <w:szCs w:val="20"/>
              </w:rPr>
              <w:t>118,19</w:t>
            </w:r>
          </w:p>
        </w:tc>
      </w:tr>
    </w:tbl>
    <w:p w:rsidR="004B4281" w:rsidRDefault="004B4281">
      <w:pPr>
        <w:pBdr>
          <w:top w:val="nil"/>
          <w:left w:val="nil"/>
          <w:bottom w:val="nil"/>
          <w:right w:val="nil"/>
          <w:between w:val="nil"/>
        </w:pBdr>
        <w:jc w:val="center"/>
      </w:pPr>
    </w:p>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4B4281">
      <w:pPr>
        <w:pBdr>
          <w:top w:val="nil"/>
          <w:left w:val="nil"/>
          <w:bottom w:val="nil"/>
          <w:right w:val="nil"/>
          <w:between w:val="nil"/>
        </w:pBdr>
        <w:jc w:val="center"/>
        <w:rPr>
          <w:color w:val="000000"/>
          <w:sz w:val="18"/>
          <w:szCs w:val="18"/>
        </w:rPr>
      </w:pPr>
    </w:p>
    <w:p w:rsidR="004B4281" w:rsidRDefault="0024197D">
      <w:r>
        <w:t xml:space="preserve">En el mapa siguiente, se observan con detalle los principales departamentos con mayor área sembrada de caña de azúcar de la tabla anterior, destacando entre ellos Valle del cauca, Risaralda, Caldas y Quindío como los departamentos de mayor producción. </w:t>
      </w:r>
    </w:p>
    <w:p w:rsidR="004B4281" w:rsidRDefault="004B4281"/>
    <w:p w:rsidR="004B4281" w:rsidRDefault="004B4281"/>
    <w:p w:rsidR="004B4281" w:rsidRDefault="004B4281"/>
    <w:p w:rsidR="004B4281" w:rsidRDefault="004B4281"/>
    <w:p w:rsidR="004B4281" w:rsidRDefault="004B4281"/>
    <w:p w:rsidR="004B4281" w:rsidRDefault="004B4281"/>
    <w:p w:rsidR="00F170AD" w:rsidRDefault="00F170AD"/>
    <w:p w:rsidR="004B4281" w:rsidRDefault="004B4281"/>
    <w:p w:rsidR="004B4281" w:rsidRDefault="004B4281"/>
    <w:p w:rsidR="004B4281" w:rsidRDefault="0024197D">
      <w:pPr>
        <w:pBdr>
          <w:top w:val="nil"/>
          <w:left w:val="nil"/>
          <w:bottom w:val="nil"/>
          <w:right w:val="nil"/>
          <w:between w:val="nil"/>
        </w:pBdr>
        <w:jc w:val="center"/>
      </w:pPr>
      <w:r>
        <w:rPr>
          <w:i/>
          <w:color w:val="44546A"/>
          <w:sz w:val="18"/>
          <w:szCs w:val="18"/>
        </w:rPr>
        <w:lastRenderedPageBreak/>
        <w:t xml:space="preserve">   </w:t>
      </w:r>
      <w:r>
        <w:t xml:space="preserve">   </w:t>
      </w:r>
      <w:r>
        <w:rPr>
          <w:b/>
        </w:rPr>
        <w:t xml:space="preserve">    Figura 1. </w:t>
      </w:r>
      <w:r>
        <w:t>Área de Caña de azúcar cosechada por departamento</w:t>
      </w:r>
    </w:p>
    <w:p w:rsidR="004B4281" w:rsidRDefault="004B4281">
      <w:pPr>
        <w:pBdr>
          <w:top w:val="nil"/>
          <w:left w:val="nil"/>
          <w:bottom w:val="nil"/>
          <w:right w:val="nil"/>
          <w:between w:val="nil"/>
        </w:pBdr>
        <w:jc w:val="center"/>
      </w:pPr>
    </w:p>
    <w:p w:rsidR="004B4281" w:rsidRDefault="0024197D">
      <w:pPr>
        <w:numPr>
          <w:ilvl w:val="0"/>
          <w:numId w:val="3"/>
        </w:numPr>
        <w:pBdr>
          <w:top w:val="nil"/>
          <w:left w:val="nil"/>
          <w:bottom w:val="nil"/>
          <w:right w:val="nil"/>
          <w:between w:val="nil"/>
        </w:pBdr>
        <w:jc w:val="center"/>
        <w:rPr>
          <w:sz w:val="20"/>
          <w:szCs w:val="20"/>
        </w:rPr>
      </w:pPr>
      <w:r>
        <w:rPr>
          <w:sz w:val="20"/>
          <w:szCs w:val="20"/>
        </w:rPr>
        <w:t>Caña panelera                                                         B. Caña de azúcar para ingenios</w:t>
      </w:r>
    </w:p>
    <w:p w:rsidR="004B4281" w:rsidRDefault="004B4281">
      <w:pPr>
        <w:pBdr>
          <w:top w:val="nil"/>
          <w:left w:val="nil"/>
          <w:bottom w:val="nil"/>
          <w:right w:val="nil"/>
          <w:between w:val="nil"/>
        </w:pBdr>
        <w:jc w:val="center"/>
      </w:pPr>
    </w:p>
    <w:p w:rsidR="004B4281" w:rsidRDefault="0024197D">
      <w:pPr>
        <w:pBdr>
          <w:top w:val="nil"/>
          <w:left w:val="nil"/>
          <w:bottom w:val="nil"/>
          <w:right w:val="nil"/>
          <w:between w:val="nil"/>
        </w:pBdr>
        <w:jc w:val="center"/>
        <w:rPr>
          <w:color w:val="000000"/>
          <w:sz w:val="18"/>
          <w:szCs w:val="18"/>
        </w:rPr>
      </w:pPr>
      <w:r>
        <w:rPr>
          <w:noProof/>
        </w:rPr>
        <w:drawing>
          <wp:inline distT="0" distB="0" distL="0" distR="0">
            <wp:extent cx="2060738" cy="2662413"/>
            <wp:effectExtent l="0" t="0" r="0" b="0"/>
            <wp:docPr id="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a:stretch>
                      <a:fillRect/>
                    </a:stretch>
                  </pic:blipFill>
                  <pic:spPr>
                    <a:xfrm>
                      <a:off x="0" y="0"/>
                      <a:ext cx="2060738" cy="2662413"/>
                    </a:xfrm>
                    <a:prstGeom prst="rect">
                      <a:avLst/>
                    </a:prstGeom>
                    <a:ln/>
                  </pic:spPr>
                </pic:pic>
              </a:graphicData>
            </a:graphic>
          </wp:inline>
        </w:drawing>
      </w:r>
      <w:r>
        <w:rPr>
          <w:noProof/>
        </w:rPr>
        <w:drawing>
          <wp:inline distT="0" distB="0" distL="0" distR="0">
            <wp:extent cx="2082637" cy="2683106"/>
            <wp:effectExtent l="0" t="0" r="0" b="0"/>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9"/>
                    <a:srcRect/>
                    <a:stretch>
                      <a:fillRect/>
                    </a:stretch>
                  </pic:blipFill>
                  <pic:spPr>
                    <a:xfrm>
                      <a:off x="0" y="0"/>
                      <a:ext cx="2082637" cy="2683106"/>
                    </a:xfrm>
                    <a:prstGeom prst="rect">
                      <a:avLst/>
                    </a:prstGeom>
                    <a:ln/>
                  </pic:spPr>
                </pic:pic>
              </a:graphicData>
            </a:graphic>
          </wp:inline>
        </w:drawing>
      </w:r>
    </w:p>
    <w:p w:rsidR="004B4281" w:rsidRDefault="0024197D">
      <w:pPr>
        <w:pBdr>
          <w:top w:val="nil"/>
          <w:left w:val="nil"/>
          <w:bottom w:val="nil"/>
          <w:right w:val="nil"/>
          <w:between w:val="nil"/>
        </w:pBdr>
        <w:jc w:val="center"/>
        <w:rPr>
          <w:color w:val="000000"/>
          <w:sz w:val="18"/>
          <w:szCs w:val="18"/>
        </w:rPr>
      </w:pPr>
      <w:r>
        <w:rPr>
          <w:color w:val="000000"/>
          <w:sz w:val="18"/>
          <w:szCs w:val="18"/>
        </w:rPr>
        <w:t xml:space="preserve">Fuente: elaborado con datos de </w:t>
      </w:r>
      <w:proofErr w:type="spellStart"/>
      <w:r>
        <w:rPr>
          <w:color w:val="000000"/>
          <w:sz w:val="18"/>
          <w:szCs w:val="18"/>
        </w:rPr>
        <w:t>Agronet</w:t>
      </w:r>
      <w:proofErr w:type="spellEnd"/>
    </w:p>
    <w:p w:rsidR="004B4281" w:rsidRDefault="0024197D">
      <w:pPr>
        <w:keepNext/>
        <w:keepLines/>
        <w:numPr>
          <w:ilvl w:val="1"/>
          <w:numId w:val="4"/>
        </w:numPr>
        <w:pBdr>
          <w:top w:val="nil"/>
          <w:left w:val="nil"/>
          <w:bottom w:val="nil"/>
          <w:right w:val="nil"/>
          <w:between w:val="nil"/>
        </w:pBdr>
        <w:spacing w:before="360" w:after="80"/>
      </w:pPr>
      <w:r>
        <w:rPr>
          <w:b/>
          <w:color w:val="000000"/>
          <w:sz w:val="24"/>
          <w:szCs w:val="24"/>
        </w:rPr>
        <w:t>Descripción del proceso productivo</w:t>
      </w:r>
    </w:p>
    <w:p w:rsidR="004B4281" w:rsidRDefault="0024197D">
      <w:r>
        <w:t xml:space="preserve">A través de la información secundaria recolectada, se ha identificado la aplicación de cinco procesos principales en el ciclo productivo de la caña de azúcar. El primero de ellos es la preparación y adecuación del terreno, que inicia con la descepada del terreno (destrucción de cepas), micro nivelación, subsolada, rastrillada, surcada y finalmente la siembra. </w:t>
      </w:r>
    </w:p>
    <w:p w:rsidR="004B4281" w:rsidRDefault="004B4281"/>
    <w:p w:rsidR="004B4281" w:rsidRDefault="0024197D">
      <w:r>
        <w:t>Algunos de estos procesos implican dos pases sobre el mismo terreno y dependiendo del subproceso se pueden utilizar tractores con potencias desde 330 HP hasta 100 HP. Estos tractores utilizan diversos implementos que facilitan la transición entre subprocesos. Debido a la magnitud de los tractores utilizados, uno de los consumos energéticos más significativo se registra en esta etapa de preparación del terreno. Se debe tener en cuenta que estos procesos conocidos en el sector como APS, se suelen realizar en un área de producción cada 6 o 7 años. En general, las áreas de cultivo de grandes extensiones tienen un 25% anual de su área en donde se realiza este proceso</w:t>
      </w:r>
    </w:p>
    <w:p w:rsidR="004B4281" w:rsidRDefault="004B4281"/>
    <w:p w:rsidR="004B4281" w:rsidRDefault="0024197D">
      <w:r>
        <w:t xml:space="preserve">Seguido a este proceso continúa el proceso de levante de la caña, el cual incluye los subprocesos de encalle (Remover biomasa), control de malezas, fertilización, cultivo (aporque) y mantenimiento de desagües. Estos procesos implican el uso de tractores con diferentes complementos. El único proceso que implica el uso de un equipo deferente en esta etapa es el mantenimiento de desagües para el cual se utilizan retroexcavadoras de diferentes tamaños. </w:t>
      </w:r>
    </w:p>
    <w:p w:rsidR="004B4281" w:rsidRDefault="004B4281"/>
    <w:p w:rsidR="004B4281" w:rsidRDefault="0024197D">
      <w:r>
        <w:t xml:space="preserve">Un proceso importante en este cultivo es el riego y el drenaje. Dependiendo de la zona, los sistemas de bombeo se pueden usar para bombear o para drenar el agua. El proceso final, antes de la cosecha, se conoce como la maduración, en donde a través de algún equipo como pivotes, drones o ultralivianos se aplica un químico que frena el proceso de crecimiento de la caña y permite el engrosamiento y el aumento del almacenamiento de azucares en la planta. </w:t>
      </w:r>
    </w:p>
    <w:p w:rsidR="00F170AD" w:rsidRDefault="00F170AD"/>
    <w:p w:rsidR="00D107D3" w:rsidRDefault="00D107D3"/>
    <w:p w:rsidR="00D107D3" w:rsidRDefault="00D107D3"/>
    <w:p w:rsidR="00D107D3" w:rsidRDefault="00D107D3"/>
    <w:p w:rsidR="00D107D3" w:rsidRDefault="00D107D3"/>
    <w:p w:rsidR="00D107D3" w:rsidRDefault="00D107D3"/>
    <w:p w:rsidR="004B4281" w:rsidRDefault="004B4281">
      <w:pPr>
        <w:pBdr>
          <w:top w:val="nil"/>
          <w:left w:val="nil"/>
          <w:bottom w:val="nil"/>
          <w:right w:val="nil"/>
          <w:between w:val="nil"/>
        </w:pBdr>
        <w:rPr>
          <w:i/>
          <w:color w:val="44546A"/>
          <w:sz w:val="18"/>
          <w:szCs w:val="18"/>
        </w:rPr>
      </w:pPr>
    </w:p>
    <w:p w:rsidR="004B4281" w:rsidRDefault="0024197D" w:rsidP="00D107D3">
      <w:pPr>
        <w:pBdr>
          <w:top w:val="nil"/>
          <w:left w:val="nil"/>
          <w:bottom w:val="nil"/>
          <w:right w:val="nil"/>
          <w:between w:val="nil"/>
        </w:pBdr>
        <w:jc w:val="center"/>
      </w:pPr>
      <w:r>
        <w:rPr>
          <w:b/>
        </w:rPr>
        <w:lastRenderedPageBreak/>
        <w:t xml:space="preserve">Tabla 3. </w:t>
      </w:r>
      <w:r>
        <w:t xml:space="preserve"> Descripción de procesos productivos</w:t>
      </w:r>
    </w:p>
    <w:tbl>
      <w:tblPr>
        <w:tblStyle w:val="a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380"/>
        <w:gridCol w:w="1948"/>
        <w:gridCol w:w="4166"/>
      </w:tblGrid>
      <w:tr w:rsidR="004B4281" w:rsidTr="00D107D3">
        <w:trPr>
          <w:trHeight w:val="290"/>
        </w:trPr>
        <w:tc>
          <w:tcPr>
            <w:tcW w:w="0" w:type="auto"/>
            <w:tcBorders>
              <w:top w:val="single" w:sz="4" w:space="0" w:color="000000"/>
              <w:left w:val="single" w:sz="4" w:space="0" w:color="000000"/>
              <w:bottom w:val="single" w:sz="4" w:space="0" w:color="000000"/>
              <w:right w:val="single" w:sz="4" w:space="0" w:color="000000"/>
            </w:tcBorders>
            <w:shd w:val="clear" w:color="auto" w:fill="25A18E"/>
            <w:vAlign w:val="center"/>
          </w:tcPr>
          <w:p w:rsidR="004B4281" w:rsidRDefault="0024197D">
            <w:pPr>
              <w:jc w:val="center"/>
              <w:rPr>
                <w:b/>
                <w:color w:val="000000"/>
                <w:sz w:val="20"/>
                <w:szCs w:val="20"/>
              </w:rPr>
            </w:pPr>
            <w:r>
              <w:rPr>
                <w:b/>
                <w:sz w:val="20"/>
                <w:szCs w:val="20"/>
              </w:rPr>
              <w:t>Proceso</w:t>
            </w:r>
          </w:p>
        </w:tc>
        <w:tc>
          <w:tcPr>
            <w:tcW w:w="0" w:type="auto"/>
            <w:tcBorders>
              <w:top w:val="single" w:sz="4" w:space="0" w:color="000000"/>
              <w:left w:val="nil"/>
              <w:bottom w:val="single" w:sz="4" w:space="0" w:color="000000"/>
              <w:right w:val="single" w:sz="4" w:space="0" w:color="000000"/>
            </w:tcBorders>
            <w:shd w:val="clear" w:color="auto" w:fill="25A18E"/>
            <w:vAlign w:val="center"/>
          </w:tcPr>
          <w:p w:rsidR="004B4281" w:rsidRDefault="0024197D">
            <w:pPr>
              <w:jc w:val="center"/>
              <w:rPr>
                <w:b/>
                <w:color w:val="000000"/>
                <w:sz w:val="20"/>
                <w:szCs w:val="20"/>
              </w:rPr>
            </w:pPr>
            <w:r>
              <w:rPr>
                <w:b/>
                <w:sz w:val="20"/>
                <w:szCs w:val="20"/>
              </w:rPr>
              <w:t>Subproceso</w:t>
            </w:r>
          </w:p>
        </w:tc>
        <w:tc>
          <w:tcPr>
            <w:tcW w:w="0" w:type="auto"/>
            <w:tcBorders>
              <w:top w:val="single" w:sz="4" w:space="0" w:color="000000"/>
              <w:left w:val="nil"/>
              <w:bottom w:val="single" w:sz="4" w:space="0" w:color="000000"/>
              <w:right w:val="single" w:sz="4" w:space="0" w:color="000000"/>
            </w:tcBorders>
            <w:shd w:val="clear" w:color="auto" w:fill="25A18E"/>
            <w:vAlign w:val="center"/>
          </w:tcPr>
          <w:p w:rsidR="004B4281" w:rsidRDefault="0024197D">
            <w:pPr>
              <w:jc w:val="center"/>
              <w:rPr>
                <w:b/>
                <w:color w:val="000000"/>
                <w:sz w:val="20"/>
                <w:szCs w:val="20"/>
              </w:rPr>
            </w:pPr>
            <w:r>
              <w:rPr>
                <w:b/>
                <w:sz w:val="20"/>
                <w:szCs w:val="20"/>
              </w:rPr>
              <w:t>Tecnología y/o equipo</w:t>
            </w:r>
          </w:p>
        </w:tc>
      </w:tr>
      <w:tr w:rsidR="004B4281" w:rsidTr="00D107D3">
        <w:trPr>
          <w:trHeight w:val="520"/>
        </w:trPr>
        <w:tc>
          <w:tcPr>
            <w:tcW w:w="0" w:type="auto"/>
            <w:vMerge w:val="restart"/>
            <w:tcBorders>
              <w:top w:val="nil"/>
              <w:left w:val="single" w:sz="4" w:space="0" w:color="000000"/>
              <w:bottom w:val="single" w:sz="4" w:space="0" w:color="000000"/>
              <w:right w:val="single" w:sz="4" w:space="0" w:color="000000"/>
            </w:tcBorders>
            <w:shd w:val="clear" w:color="auto" w:fill="FFFFFF"/>
            <w:vAlign w:val="center"/>
          </w:tcPr>
          <w:p w:rsidR="004B4281" w:rsidRDefault="0024197D">
            <w:pPr>
              <w:jc w:val="center"/>
              <w:rPr>
                <w:color w:val="000000"/>
                <w:sz w:val="20"/>
                <w:szCs w:val="20"/>
              </w:rPr>
            </w:pPr>
            <w:r>
              <w:rPr>
                <w:sz w:val="20"/>
                <w:szCs w:val="20"/>
              </w:rPr>
              <w:t>Preparación y adecuación del suelo (APS)</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Descepada Mecánica (LC)</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Tractor con Rastro arado</w:t>
            </w:r>
          </w:p>
        </w:tc>
      </w:tr>
      <w:tr w:rsidR="004B4281" w:rsidTr="00D107D3">
        <w:trPr>
          <w:trHeight w:val="29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Micronivelación</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Tractor/Bulldozer</w:t>
            </w:r>
          </w:p>
        </w:tc>
      </w:tr>
      <w:tr w:rsidR="004B4281" w:rsidTr="00D107D3">
        <w:trPr>
          <w:trHeight w:val="52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Subsolada-Cincelada</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Tractor con subsolador de tres a cinco vástagos</w:t>
            </w:r>
          </w:p>
        </w:tc>
      </w:tr>
      <w:tr w:rsidR="004B4281" w:rsidTr="00D107D3">
        <w:trPr>
          <w:trHeight w:val="29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Rastrillada</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Tractor con Rastro arado</w:t>
            </w:r>
          </w:p>
        </w:tc>
      </w:tr>
      <w:tr w:rsidR="004B4281" w:rsidTr="00D107D3">
        <w:trPr>
          <w:trHeight w:val="29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Surcada</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Tractor con surcador</w:t>
            </w:r>
          </w:p>
        </w:tc>
      </w:tr>
      <w:tr w:rsidR="004B4281" w:rsidTr="00D107D3">
        <w:trPr>
          <w:trHeight w:val="52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Siembra mecánica</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 xml:space="preserve">Tractor con sembradora/Volqueta </w:t>
            </w:r>
          </w:p>
        </w:tc>
      </w:tr>
      <w:tr w:rsidR="004B4281" w:rsidTr="00D107D3">
        <w:trPr>
          <w:trHeight w:val="520"/>
        </w:trPr>
        <w:tc>
          <w:tcPr>
            <w:tcW w:w="0" w:type="auto"/>
            <w:vMerge w:val="restart"/>
            <w:tcBorders>
              <w:top w:val="nil"/>
              <w:left w:val="single" w:sz="4" w:space="0" w:color="000000"/>
              <w:bottom w:val="single" w:sz="4" w:space="0" w:color="000000"/>
              <w:right w:val="single" w:sz="4" w:space="0" w:color="000000"/>
            </w:tcBorders>
            <w:shd w:val="clear" w:color="auto" w:fill="FFFFFF"/>
            <w:vAlign w:val="center"/>
          </w:tcPr>
          <w:p w:rsidR="004B4281" w:rsidRDefault="0024197D">
            <w:pPr>
              <w:jc w:val="center"/>
              <w:rPr>
                <w:color w:val="000000"/>
                <w:sz w:val="20"/>
                <w:szCs w:val="20"/>
              </w:rPr>
            </w:pPr>
            <w:r>
              <w:rPr>
                <w:sz w:val="20"/>
                <w:szCs w:val="20"/>
              </w:rPr>
              <w:t>Levante</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Encalle mecanizado</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 xml:space="preserve">Tractor con </w:t>
            </w:r>
            <w:proofErr w:type="spellStart"/>
            <w:r>
              <w:rPr>
                <w:sz w:val="20"/>
                <w:szCs w:val="20"/>
              </w:rPr>
              <w:t>encalladora</w:t>
            </w:r>
            <w:proofErr w:type="spellEnd"/>
            <w:r>
              <w:rPr>
                <w:sz w:val="20"/>
                <w:szCs w:val="20"/>
              </w:rPr>
              <w:t xml:space="preserve"> </w:t>
            </w:r>
            <w:proofErr w:type="spellStart"/>
            <w:r>
              <w:rPr>
                <w:sz w:val="20"/>
                <w:szCs w:val="20"/>
              </w:rPr>
              <w:t>Lelly</w:t>
            </w:r>
            <w:proofErr w:type="spellEnd"/>
          </w:p>
        </w:tc>
      </w:tr>
      <w:tr w:rsidR="004B4281" w:rsidTr="00D107D3">
        <w:trPr>
          <w:trHeight w:val="52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 xml:space="preserve">Control de malezas químico </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Tractor / Fumigadora de espalda</w:t>
            </w:r>
          </w:p>
        </w:tc>
      </w:tr>
      <w:tr w:rsidR="004B4281" w:rsidTr="00D107D3">
        <w:trPr>
          <w:trHeight w:val="29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Fertilización</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Tractor</w:t>
            </w:r>
          </w:p>
        </w:tc>
      </w:tr>
      <w:tr w:rsidR="004B4281" w:rsidTr="00D107D3">
        <w:trPr>
          <w:trHeight w:val="29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Cultivo</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Tractor con aporcador</w:t>
            </w:r>
          </w:p>
        </w:tc>
      </w:tr>
      <w:tr w:rsidR="004B4281" w:rsidTr="00D107D3">
        <w:trPr>
          <w:trHeight w:val="38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Mantenimiento desagües</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Retroexcavadoras</w:t>
            </w:r>
          </w:p>
        </w:tc>
      </w:tr>
      <w:tr w:rsidR="00D107D3" w:rsidTr="00365933">
        <w:trPr>
          <w:trHeight w:val="1050"/>
        </w:trPr>
        <w:tc>
          <w:tcPr>
            <w:tcW w:w="0" w:type="auto"/>
            <w:gridSpan w:val="2"/>
            <w:tcBorders>
              <w:top w:val="nil"/>
              <w:left w:val="single" w:sz="4" w:space="0" w:color="000000"/>
              <w:bottom w:val="single" w:sz="4" w:space="0" w:color="000000"/>
              <w:right w:val="single" w:sz="4" w:space="0" w:color="000000"/>
            </w:tcBorders>
            <w:shd w:val="clear" w:color="auto" w:fill="FFFFFF"/>
            <w:vAlign w:val="center"/>
          </w:tcPr>
          <w:p w:rsidR="00D107D3" w:rsidRDefault="00D107D3">
            <w:pPr>
              <w:jc w:val="center"/>
              <w:rPr>
                <w:color w:val="000000"/>
                <w:sz w:val="20"/>
                <w:szCs w:val="20"/>
              </w:rPr>
            </w:pPr>
            <w:r>
              <w:rPr>
                <w:color w:val="000000"/>
                <w:sz w:val="20"/>
                <w:szCs w:val="20"/>
              </w:rPr>
              <w:t>Riego/Fumigación</w:t>
            </w:r>
          </w:p>
          <w:p w:rsidR="00D107D3" w:rsidRDefault="00D107D3">
            <w:pPr>
              <w:jc w:val="center"/>
              <w:rPr>
                <w:color w:val="000000"/>
                <w:sz w:val="20"/>
                <w:szCs w:val="20"/>
              </w:rPr>
            </w:pPr>
            <w:r>
              <w:rPr>
                <w:color w:val="000000"/>
                <w:sz w:val="20"/>
                <w:szCs w:val="20"/>
              </w:rPr>
              <w:t> </w:t>
            </w:r>
          </w:p>
        </w:tc>
        <w:tc>
          <w:tcPr>
            <w:tcW w:w="0" w:type="auto"/>
            <w:tcBorders>
              <w:top w:val="nil"/>
              <w:left w:val="nil"/>
              <w:bottom w:val="single" w:sz="4" w:space="0" w:color="000000"/>
              <w:right w:val="single" w:sz="4" w:space="0" w:color="000000"/>
            </w:tcBorders>
            <w:shd w:val="clear" w:color="auto" w:fill="auto"/>
            <w:vAlign w:val="center"/>
          </w:tcPr>
          <w:p w:rsidR="00D107D3" w:rsidRDefault="00D107D3">
            <w:pPr>
              <w:jc w:val="center"/>
              <w:rPr>
                <w:color w:val="000000"/>
                <w:sz w:val="20"/>
                <w:szCs w:val="20"/>
              </w:rPr>
            </w:pPr>
            <w:r>
              <w:rPr>
                <w:color w:val="000000"/>
                <w:sz w:val="20"/>
                <w:szCs w:val="20"/>
              </w:rPr>
              <w:t>Electrobombas, pozos profundos, pivotes, motobombas, canales, drenajes</w:t>
            </w:r>
          </w:p>
        </w:tc>
      </w:tr>
      <w:tr w:rsidR="004B4281" w:rsidTr="00D107D3">
        <w:trPr>
          <w:trHeight w:val="660"/>
        </w:trPr>
        <w:tc>
          <w:tcPr>
            <w:tcW w:w="0" w:type="auto"/>
            <w:tcBorders>
              <w:top w:val="nil"/>
              <w:left w:val="single" w:sz="4" w:space="0" w:color="000000"/>
              <w:bottom w:val="single" w:sz="4" w:space="0" w:color="000000"/>
              <w:right w:val="single" w:sz="4" w:space="0" w:color="000000"/>
            </w:tcBorders>
            <w:shd w:val="clear" w:color="auto" w:fill="FFFFFF"/>
            <w:vAlign w:val="center"/>
          </w:tcPr>
          <w:p w:rsidR="004B4281" w:rsidRDefault="0024197D">
            <w:pPr>
              <w:jc w:val="center"/>
              <w:rPr>
                <w:color w:val="000000"/>
                <w:sz w:val="20"/>
                <w:szCs w:val="20"/>
              </w:rPr>
            </w:pPr>
            <w:r>
              <w:rPr>
                <w:color w:val="000000"/>
                <w:sz w:val="20"/>
                <w:szCs w:val="20"/>
              </w:rPr>
              <w:t>Maduración</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color w:val="000000"/>
                <w:sz w:val="20"/>
                <w:szCs w:val="20"/>
              </w:rPr>
              <w:t> </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color w:val="000000"/>
                <w:sz w:val="20"/>
                <w:szCs w:val="20"/>
              </w:rPr>
              <w:t>Ultraliviano, dron, fumigadora de espalda</w:t>
            </w:r>
          </w:p>
        </w:tc>
      </w:tr>
      <w:tr w:rsidR="004B4281" w:rsidTr="00D107D3">
        <w:trPr>
          <w:trHeight w:val="290"/>
        </w:trPr>
        <w:tc>
          <w:tcPr>
            <w:tcW w:w="0" w:type="auto"/>
            <w:vMerge w:val="restart"/>
            <w:tcBorders>
              <w:top w:val="nil"/>
              <w:left w:val="single" w:sz="4" w:space="0" w:color="000000"/>
              <w:bottom w:val="single" w:sz="4" w:space="0" w:color="000000"/>
              <w:right w:val="single" w:sz="4" w:space="0" w:color="000000"/>
            </w:tcBorders>
            <w:shd w:val="clear" w:color="auto" w:fill="FFFFFF"/>
            <w:vAlign w:val="center"/>
          </w:tcPr>
          <w:p w:rsidR="004B4281" w:rsidRDefault="0024197D">
            <w:pPr>
              <w:jc w:val="center"/>
              <w:rPr>
                <w:color w:val="000000"/>
                <w:sz w:val="20"/>
                <w:szCs w:val="20"/>
              </w:rPr>
            </w:pPr>
            <w:r>
              <w:rPr>
                <w:sz w:val="20"/>
                <w:szCs w:val="20"/>
              </w:rPr>
              <w:t>Cosecha</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Recolección caña de azúcar</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Cosechadoras combinadas, alzadoras</w:t>
            </w:r>
          </w:p>
        </w:tc>
      </w:tr>
      <w:tr w:rsidR="004B4281" w:rsidTr="00D107D3">
        <w:trPr>
          <w:trHeight w:val="29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Gondoleo/cadeneo</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sz w:val="20"/>
                <w:szCs w:val="20"/>
              </w:rPr>
              <w:t xml:space="preserve">Tractor </w:t>
            </w:r>
          </w:p>
        </w:tc>
      </w:tr>
      <w:tr w:rsidR="004B4281" w:rsidTr="00D107D3">
        <w:trPr>
          <w:trHeight w:val="290"/>
        </w:trPr>
        <w:tc>
          <w:tcPr>
            <w:tcW w:w="0" w:type="auto"/>
            <w:vMerge/>
            <w:tcBorders>
              <w:top w:val="nil"/>
              <w:left w:val="single" w:sz="4" w:space="0" w:color="000000"/>
              <w:bottom w:val="single" w:sz="4" w:space="0" w:color="000000"/>
              <w:right w:val="single" w:sz="4" w:space="0" w:color="000000"/>
            </w:tcBorders>
            <w:shd w:val="clear" w:color="auto" w:fill="FFFFFF"/>
            <w:vAlign w:val="center"/>
          </w:tcPr>
          <w:p w:rsidR="004B4281" w:rsidRDefault="004B4281">
            <w:pPr>
              <w:widowControl w:val="0"/>
              <w:pBdr>
                <w:top w:val="nil"/>
                <w:left w:val="nil"/>
                <w:bottom w:val="nil"/>
                <w:right w:val="nil"/>
                <w:between w:val="nil"/>
              </w:pBdr>
              <w:spacing w:line="276" w:lineRule="auto"/>
              <w:jc w:val="left"/>
              <w:rPr>
                <w:color w:val="000000"/>
                <w:sz w:val="20"/>
                <w:szCs w:val="20"/>
              </w:rPr>
            </w:pP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color w:val="000000"/>
                <w:sz w:val="20"/>
                <w:szCs w:val="20"/>
              </w:rPr>
              <w:t>Transporte interno</w:t>
            </w:r>
          </w:p>
        </w:tc>
        <w:tc>
          <w:tcPr>
            <w:tcW w:w="0" w:type="auto"/>
            <w:tcBorders>
              <w:top w:val="nil"/>
              <w:left w:val="nil"/>
              <w:bottom w:val="single" w:sz="4" w:space="0" w:color="000000"/>
              <w:right w:val="single" w:sz="4" w:space="0" w:color="000000"/>
            </w:tcBorders>
            <w:shd w:val="clear" w:color="auto" w:fill="auto"/>
            <w:vAlign w:val="center"/>
          </w:tcPr>
          <w:p w:rsidR="004B4281" w:rsidRDefault="0024197D">
            <w:pPr>
              <w:jc w:val="center"/>
              <w:rPr>
                <w:color w:val="000000"/>
                <w:sz w:val="20"/>
                <w:szCs w:val="20"/>
              </w:rPr>
            </w:pPr>
            <w:r>
              <w:rPr>
                <w:color w:val="000000"/>
                <w:sz w:val="20"/>
                <w:szCs w:val="20"/>
              </w:rPr>
              <w:t>Tracto</w:t>
            </w:r>
            <w:r w:rsidR="00D107D3">
              <w:rPr>
                <w:color w:val="000000"/>
                <w:sz w:val="20"/>
                <w:szCs w:val="20"/>
              </w:rPr>
              <w:t xml:space="preserve"> </w:t>
            </w:r>
            <w:r>
              <w:rPr>
                <w:color w:val="000000"/>
                <w:sz w:val="20"/>
                <w:szCs w:val="20"/>
              </w:rPr>
              <w:t>mulas</w:t>
            </w:r>
          </w:p>
        </w:tc>
      </w:tr>
    </w:tbl>
    <w:p w:rsidR="004B4281" w:rsidRDefault="004B4281">
      <w:pPr>
        <w:pBdr>
          <w:top w:val="nil"/>
          <w:left w:val="nil"/>
          <w:bottom w:val="nil"/>
          <w:right w:val="nil"/>
          <w:between w:val="nil"/>
        </w:pBdr>
        <w:jc w:val="center"/>
        <w:rPr>
          <w:color w:val="000000"/>
          <w:sz w:val="18"/>
          <w:szCs w:val="18"/>
        </w:rPr>
      </w:pPr>
    </w:p>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24197D">
      <w:pPr>
        <w:pStyle w:val="Heading1"/>
        <w:numPr>
          <w:ilvl w:val="0"/>
          <w:numId w:val="4"/>
        </w:numPr>
      </w:pPr>
      <w:bookmarkStart w:id="2" w:name="_heading=h.3znysh7" w:colFirst="0" w:colLast="0"/>
      <w:bookmarkEnd w:id="2"/>
      <w:r>
        <w:t>Resultados de campo</w:t>
      </w:r>
    </w:p>
    <w:p w:rsidR="004B4281" w:rsidRDefault="0024197D">
      <w:r>
        <w:t>A través de las visitas de campo realizadas se identificaron los procesos recolectados a través de información secundaria y se conoció a mayor detalle el funcionamiento de cada uno de los equipos empleados.</w:t>
      </w:r>
    </w:p>
    <w:p w:rsidR="004B4281" w:rsidRDefault="004B4281">
      <w:pPr>
        <w:jc w:val="center"/>
      </w:pPr>
    </w:p>
    <w:p w:rsidR="004B4281" w:rsidRDefault="0024197D">
      <w:pPr>
        <w:pBdr>
          <w:top w:val="nil"/>
          <w:left w:val="nil"/>
          <w:bottom w:val="nil"/>
          <w:right w:val="nil"/>
          <w:between w:val="nil"/>
        </w:pBdr>
        <w:jc w:val="center"/>
      </w:pPr>
      <w:r>
        <w:rPr>
          <w:b/>
        </w:rPr>
        <w:t>Figura 2.</w:t>
      </w:r>
      <w:r>
        <w:t xml:space="preserve"> Registro fotográfico de las visitas realizadas al cultivo de Caña de azúcar</w:t>
      </w:r>
    </w:p>
    <w:p w:rsidR="004B4281" w:rsidRDefault="004B4281">
      <w:pPr>
        <w:pBdr>
          <w:top w:val="nil"/>
          <w:left w:val="nil"/>
          <w:bottom w:val="nil"/>
          <w:right w:val="nil"/>
          <w:between w:val="nil"/>
        </w:pBdr>
        <w:rPr>
          <w:color w:val="000000"/>
          <w:sz w:val="18"/>
          <w:szCs w:val="18"/>
        </w:rPr>
      </w:pPr>
    </w:p>
    <w:p w:rsidR="004B4281" w:rsidRDefault="0024197D">
      <w:pPr>
        <w:pBdr>
          <w:top w:val="nil"/>
          <w:left w:val="nil"/>
          <w:bottom w:val="nil"/>
          <w:right w:val="nil"/>
          <w:between w:val="nil"/>
        </w:pBdr>
        <w:jc w:val="center"/>
        <w:rPr>
          <w:color w:val="000000"/>
          <w:sz w:val="18"/>
          <w:szCs w:val="18"/>
        </w:rPr>
      </w:pPr>
      <w:r>
        <w:rPr>
          <w:noProof/>
        </w:rPr>
        <w:drawing>
          <wp:inline distT="0" distB="0" distL="0" distR="0">
            <wp:extent cx="2254726" cy="1752582"/>
            <wp:effectExtent l="0" t="0" r="0" b="0"/>
            <wp:docPr id="2"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0"/>
                    <a:srcRect/>
                    <a:stretch>
                      <a:fillRect/>
                    </a:stretch>
                  </pic:blipFill>
                  <pic:spPr>
                    <a:xfrm>
                      <a:off x="0" y="0"/>
                      <a:ext cx="2254726" cy="1752582"/>
                    </a:xfrm>
                    <a:prstGeom prst="rect">
                      <a:avLst/>
                    </a:prstGeom>
                    <a:ln/>
                  </pic:spPr>
                </pic:pic>
              </a:graphicData>
            </a:graphic>
          </wp:inline>
        </w:drawing>
      </w:r>
      <w:r w:rsidR="00D107D3">
        <w:rPr>
          <w:noProof/>
        </w:rPr>
        <w:t xml:space="preserve"> </w:t>
      </w:r>
      <w:r>
        <w:rPr>
          <w:noProof/>
        </w:rPr>
        <w:drawing>
          <wp:inline distT="0" distB="0" distL="0" distR="0">
            <wp:extent cx="2175591" cy="1759799"/>
            <wp:effectExtent l="0" t="0" r="0" b="0"/>
            <wp:docPr id="5" name="image2.jpg" descr="Un conjunto de árboles&#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0" name="image2.jpg" descr="Un conjunto de árboles&#10;&#10;Descripción generada automáticamente con confianza media"/>
                    <pic:cNvPicPr preferRelativeResize="0"/>
                  </pic:nvPicPr>
                  <pic:blipFill>
                    <a:blip r:embed="rId11"/>
                    <a:srcRect/>
                    <a:stretch>
                      <a:fillRect/>
                    </a:stretch>
                  </pic:blipFill>
                  <pic:spPr>
                    <a:xfrm>
                      <a:off x="0" y="0"/>
                      <a:ext cx="2175591" cy="1759799"/>
                    </a:xfrm>
                    <a:prstGeom prst="rect">
                      <a:avLst/>
                    </a:prstGeom>
                    <a:ln/>
                  </pic:spPr>
                </pic:pic>
              </a:graphicData>
            </a:graphic>
          </wp:inline>
        </w:drawing>
      </w:r>
    </w:p>
    <w:p w:rsidR="004B4281" w:rsidRDefault="004B4281">
      <w:pPr>
        <w:pBdr>
          <w:top w:val="nil"/>
          <w:left w:val="nil"/>
          <w:bottom w:val="nil"/>
          <w:right w:val="nil"/>
          <w:between w:val="nil"/>
        </w:pBdr>
        <w:rPr>
          <w:color w:val="000000"/>
          <w:sz w:val="18"/>
          <w:szCs w:val="18"/>
        </w:rPr>
      </w:pPr>
    </w:p>
    <w:p w:rsidR="004B4281" w:rsidRDefault="0024197D">
      <w:pPr>
        <w:pBdr>
          <w:top w:val="nil"/>
          <w:left w:val="nil"/>
          <w:bottom w:val="nil"/>
          <w:right w:val="nil"/>
          <w:between w:val="nil"/>
        </w:pBdr>
        <w:jc w:val="center"/>
        <w:rPr>
          <w:color w:val="000000"/>
          <w:sz w:val="18"/>
          <w:szCs w:val="18"/>
        </w:rPr>
      </w:pPr>
      <w:r>
        <w:rPr>
          <w:color w:val="000000"/>
          <w:sz w:val="18"/>
          <w:szCs w:val="18"/>
        </w:rPr>
        <w:t>Fuente: recolectadas en campo</w:t>
      </w:r>
    </w:p>
    <w:p w:rsidR="004B4281" w:rsidRDefault="004B4281">
      <w:pPr>
        <w:pBdr>
          <w:top w:val="nil"/>
          <w:left w:val="nil"/>
          <w:bottom w:val="nil"/>
          <w:right w:val="nil"/>
          <w:between w:val="nil"/>
        </w:pBdr>
        <w:jc w:val="center"/>
        <w:rPr>
          <w:color w:val="000000"/>
          <w:sz w:val="18"/>
          <w:szCs w:val="18"/>
        </w:rPr>
      </w:pPr>
    </w:p>
    <w:p w:rsidR="004B4281" w:rsidRDefault="0024197D">
      <w:r>
        <w:t xml:space="preserve">Además de algunas variaciones en el uso de equipos manuales y mecánicos, a continuación se presentan los equipos con sus correspondientes descripciones. </w:t>
      </w:r>
    </w:p>
    <w:p w:rsidR="004B4281" w:rsidRDefault="004B4281"/>
    <w:p w:rsidR="004B4281" w:rsidRDefault="0024197D">
      <w:pPr>
        <w:pBdr>
          <w:top w:val="nil"/>
          <w:left w:val="nil"/>
          <w:bottom w:val="nil"/>
          <w:right w:val="nil"/>
          <w:between w:val="nil"/>
        </w:pBdr>
        <w:jc w:val="center"/>
      </w:pPr>
      <w:r>
        <w:rPr>
          <w:b/>
        </w:rPr>
        <w:t>Tabla 4.</w:t>
      </w:r>
      <w:r>
        <w:t xml:space="preserve">  Equipos empleados en el proceso productivo del Caña de azúcar</w:t>
      </w:r>
    </w:p>
    <w:tbl>
      <w:tblPr>
        <w:tblStyle w:val="a2"/>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76"/>
        <w:gridCol w:w="5218"/>
      </w:tblGrid>
      <w:tr w:rsidR="004B4281">
        <w:trPr>
          <w:tblHeader/>
        </w:trPr>
        <w:tc>
          <w:tcPr>
            <w:tcW w:w="3276" w:type="dxa"/>
            <w:shd w:val="clear" w:color="auto" w:fill="25A18E"/>
          </w:tcPr>
          <w:p w:rsidR="004B4281" w:rsidRDefault="0024197D">
            <w:pPr>
              <w:jc w:val="center"/>
              <w:rPr>
                <w:b/>
                <w:sz w:val="20"/>
                <w:szCs w:val="20"/>
              </w:rPr>
            </w:pPr>
            <w:r>
              <w:rPr>
                <w:b/>
                <w:sz w:val="20"/>
                <w:szCs w:val="20"/>
              </w:rPr>
              <w:t>Equipo</w:t>
            </w:r>
          </w:p>
        </w:tc>
        <w:tc>
          <w:tcPr>
            <w:tcW w:w="5218" w:type="dxa"/>
            <w:shd w:val="clear" w:color="auto" w:fill="25A18E"/>
          </w:tcPr>
          <w:p w:rsidR="004B4281" w:rsidRDefault="0024197D">
            <w:pPr>
              <w:jc w:val="center"/>
              <w:rPr>
                <w:b/>
                <w:sz w:val="20"/>
                <w:szCs w:val="20"/>
              </w:rPr>
            </w:pPr>
            <w:r>
              <w:rPr>
                <w:b/>
                <w:sz w:val="20"/>
                <w:szCs w:val="20"/>
              </w:rPr>
              <w:t>Descripción</w:t>
            </w:r>
          </w:p>
        </w:tc>
      </w:tr>
      <w:tr w:rsidR="004B4281">
        <w:trPr>
          <w:trHeight w:val="2035"/>
        </w:trPr>
        <w:tc>
          <w:tcPr>
            <w:tcW w:w="3276" w:type="dxa"/>
          </w:tcPr>
          <w:p w:rsidR="004B4281" w:rsidRDefault="004B4281">
            <w:pPr>
              <w:pBdr>
                <w:top w:val="nil"/>
                <w:left w:val="nil"/>
                <w:bottom w:val="nil"/>
                <w:right w:val="nil"/>
                <w:between w:val="nil"/>
              </w:pBdr>
              <w:ind w:left="720"/>
              <w:rPr>
                <w:color w:val="000000"/>
                <w:sz w:val="20"/>
                <w:szCs w:val="20"/>
              </w:rPr>
            </w:pPr>
          </w:p>
          <w:p w:rsidR="004B4281" w:rsidRDefault="0024197D">
            <w:pPr>
              <w:numPr>
                <w:ilvl w:val="0"/>
                <w:numId w:val="2"/>
              </w:numPr>
              <w:pBdr>
                <w:top w:val="nil"/>
                <w:left w:val="nil"/>
                <w:bottom w:val="nil"/>
                <w:right w:val="nil"/>
                <w:between w:val="nil"/>
              </w:pBdr>
              <w:rPr>
                <w:color w:val="000000"/>
                <w:sz w:val="20"/>
                <w:szCs w:val="20"/>
              </w:rPr>
            </w:pPr>
            <w:r>
              <w:rPr>
                <w:color w:val="000000"/>
                <w:sz w:val="20"/>
                <w:szCs w:val="20"/>
              </w:rPr>
              <w:t>Tractor</w:t>
            </w:r>
          </w:p>
          <w:p w:rsidR="004B4281" w:rsidRDefault="0024197D">
            <w:pPr>
              <w:ind w:left="360"/>
              <w:rPr>
                <w:sz w:val="20"/>
                <w:szCs w:val="20"/>
              </w:rPr>
            </w:pPr>
            <w:r>
              <w:rPr>
                <w:noProof/>
              </w:rPr>
              <w:drawing>
                <wp:inline distT="0" distB="0" distL="0" distR="0">
                  <wp:extent cx="1688938" cy="742963"/>
                  <wp:effectExtent l="0" t="0" r="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1688938" cy="742963"/>
                          </a:xfrm>
                          <a:prstGeom prst="rect">
                            <a:avLst/>
                          </a:prstGeom>
                          <a:ln/>
                        </pic:spPr>
                      </pic:pic>
                    </a:graphicData>
                  </a:graphic>
                </wp:inline>
              </w:drawing>
            </w:r>
          </w:p>
        </w:tc>
        <w:tc>
          <w:tcPr>
            <w:tcW w:w="5218" w:type="dxa"/>
          </w:tcPr>
          <w:p w:rsidR="004B4281" w:rsidRDefault="004B4281">
            <w:pPr>
              <w:rPr>
                <w:sz w:val="20"/>
                <w:szCs w:val="20"/>
              </w:rPr>
            </w:pPr>
          </w:p>
          <w:p w:rsidR="004B4281" w:rsidRDefault="0024197D">
            <w:pPr>
              <w:rPr>
                <w:sz w:val="20"/>
                <w:szCs w:val="20"/>
              </w:rPr>
            </w:pPr>
            <w:r>
              <w:rPr>
                <w:sz w:val="20"/>
                <w:szCs w:val="20"/>
              </w:rPr>
              <w:t xml:space="preserve">La mayoría de los procesos productivos de la caña implica el uso de un tractor. Los tractores que se suelen usar tienen motores desde 330 HP hasta 100 HP. Por esa razón tiene un consumo elevado de combustible, desde 9 a 3 Galones de ACPM por hora trabajada. </w:t>
            </w:r>
          </w:p>
          <w:p w:rsidR="004B4281" w:rsidRDefault="004B4281">
            <w:pPr>
              <w:rPr>
                <w:sz w:val="20"/>
                <w:szCs w:val="20"/>
              </w:rPr>
            </w:pPr>
          </w:p>
        </w:tc>
      </w:tr>
      <w:tr w:rsidR="004B4281">
        <w:trPr>
          <w:trHeight w:val="2436"/>
        </w:trPr>
        <w:tc>
          <w:tcPr>
            <w:tcW w:w="3276" w:type="dxa"/>
          </w:tcPr>
          <w:p w:rsidR="004B4281" w:rsidRDefault="004B4281">
            <w:pPr>
              <w:pBdr>
                <w:top w:val="nil"/>
                <w:left w:val="nil"/>
                <w:bottom w:val="nil"/>
                <w:right w:val="nil"/>
                <w:between w:val="nil"/>
              </w:pBdr>
              <w:ind w:left="720"/>
              <w:rPr>
                <w:color w:val="000000"/>
                <w:sz w:val="20"/>
                <w:szCs w:val="20"/>
              </w:rPr>
            </w:pPr>
          </w:p>
          <w:p w:rsidR="004B4281" w:rsidRDefault="0024197D">
            <w:pPr>
              <w:numPr>
                <w:ilvl w:val="0"/>
                <w:numId w:val="2"/>
              </w:numPr>
              <w:pBdr>
                <w:top w:val="nil"/>
                <w:left w:val="nil"/>
                <w:bottom w:val="nil"/>
                <w:right w:val="nil"/>
                <w:between w:val="nil"/>
              </w:pBdr>
              <w:rPr>
                <w:color w:val="000000"/>
                <w:sz w:val="20"/>
                <w:szCs w:val="20"/>
              </w:rPr>
            </w:pPr>
            <w:r>
              <w:rPr>
                <w:color w:val="000000"/>
                <w:sz w:val="20"/>
                <w:szCs w:val="20"/>
              </w:rPr>
              <w:t xml:space="preserve"> Rastro</w:t>
            </w:r>
            <w:r w:rsidR="00D107D3">
              <w:rPr>
                <w:color w:val="000000"/>
                <w:sz w:val="20"/>
                <w:szCs w:val="20"/>
              </w:rPr>
              <w:t xml:space="preserve"> </w:t>
            </w:r>
            <w:r>
              <w:rPr>
                <w:color w:val="000000"/>
                <w:sz w:val="20"/>
                <w:szCs w:val="20"/>
              </w:rPr>
              <w:t>arado</w:t>
            </w:r>
          </w:p>
          <w:p w:rsidR="004B4281" w:rsidRDefault="0024197D">
            <w:pPr>
              <w:rPr>
                <w:sz w:val="20"/>
                <w:szCs w:val="20"/>
              </w:rPr>
            </w:pPr>
            <w:r>
              <w:rPr>
                <w:noProof/>
                <w:sz w:val="20"/>
                <w:szCs w:val="20"/>
              </w:rPr>
              <w:drawing>
                <wp:inline distT="0" distB="0" distL="0" distR="0">
                  <wp:extent cx="1946351" cy="824069"/>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1946351" cy="824069"/>
                          </a:xfrm>
                          <a:prstGeom prst="rect">
                            <a:avLst/>
                          </a:prstGeom>
                          <a:ln/>
                        </pic:spPr>
                      </pic:pic>
                    </a:graphicData>
                  </a:graphic>
                </wp:inline>
              </w:drawing>
            </w:r>
          </w:p>
        </w:tc>
        <w:tc>
          <w:tcPr>
            <w:tcW w:w="5218" w:type="dxa"/>
          </w:tcPr>
          <w:p w:rsidR="004B4281" w:rsidRDefault="004B4281">
            <w:pPr>
              <w:rPr>
                <w:sz w:val="20"/>
                <w:szCs w:val="20"/>
              </w:rPr>
            </w:pPr>
          </w:p>
          <w:p w:rsidR="004B4281" w:rsidRDefault="0024197D">
            <w:pPr>
              <w:rPr>
                <w:sz w:val="20"/>
                <w:szCs w:val="20"/>
              </w:rPr>
            </w:pPr>
            <w:r>
              <w:rPr>
                <w:sz w:val="20"/>
                <w:szCs w:val="20"/>
              </w:rPr>
              <w:t xml:space="preserve">El rastro arado se utiliza para los procesos de descepada y rastrillada del terreno, puede usarse con tractores de potencia alta y media. </w:t>
            </w:r>
          </w:p>
        </w:tc>
      </w:tr>
      <w:tr w:rsidR="004B4281">
        <w:trPr>
          <w:trHeight w:val="2436"/>
        </w:trPr>
        <w:tc>
          <w:tcPr>
            <w:tcW w:w="3276" w:type="dxa"/>
          </w:tcPr>
          <w:p w:rsidR="004B4281" w:rsidRDefault="00D107D3">
            <w:pPr>
              <w:numPr>
                <w:ilvl w:val="0"/>
                <w:numId w:val="2"/>
              </w:numPr>
              <w:pBdr>
                <w:top w:val="nil"/>
                <w:left w:val="nil"/>
                <w:bottom w:val="nil"/>
                <w:right w:val="nil"/>
                <w:between w:val="nil"/>
              </w:pBdr>
              <w:rPr>
                <w:color w:val="000000"/>
                <w:sz w:val="20"/>
                <w:szCs w:val="20"/>
              </w:rPr>
            </w:pPr>
            <w:r>
              <w:rPr>
                <w:noProof/>
              </w:rPr>
              <w:drawing>
                <wp:anchor distT="0" distB="0" distL="114300" distR="114300" simplePos="0" relativeHeight="251658240" behindDoc="0" locked="0" layoutInCell="1" allowOverlap="1">
                  <wp:simplePos x="0" y="0"/>
                  <wp:positionH relativeFrom="column">
                    <wp:posOffset>224155</wp:posOffset>
                  </wp:positionH>
                  <wp:positionV relativeFrom="paragraph">
                    <wp:posOffset>227330</wp:posOffset>
                  </wp:positionV>
                  <wp:extent cx="1598930" cy="1204595"/>
                  <wp:effectExtent l="0" t="0" r="1270" b="0"/>
                  <wp:wrapSquare wrapText="bothSides"/>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1598930" cy="1204595"/>
                          </a:xfrm>
                          <a:prstGeom prst="rect">
                            <a:avLst/>
                          </a:prstGeom>
                          <a:ln/>
                        </pic:spPr>
                      </pic:pic>
                    </a:graphicData>
                  </a:graphic>
                </wp:anchor>
              </w:drawing>
            </w:r>
            <w:r w:rsidR="0024197D">
              <w:rPr>
                <w:color w:val="000000"/>
                <w:sz w:val="20"/>
                <w:szCs w:val="20"/>
              </w:rPr>
              <w:t>Bulldozer oruga</w:t>
            </w:r>
          </w:p>
          <w:p w:rsidR="004B4281" w:rsidRDefault="004B4281">
            <w:pPr>
              <w:rPr>
                <w:sz w:val="20"/>
                <w:szCs w:val="20"/>
              </w:rPr>
            </w:pPr>
          </w:p>
          <w:p w:rsidR="004B4281" w:rsidRDefault="004B4281">
            <w:pPr>
              <w:rPr>
                <w:sz w:val="20"/>
                <w:szCs w:val="20"/>
              </w:rPr>
            </w:pPr>
          </w:p>
        </w:tc>
        <w:tc>
          <w:tcPr>
            <w:tcW w:w="5218" w:type="dxa"/>
          </w:tcPr>
          <w:p w:rsidR="004B4281" w:rsidRDefault="004B4281">
            <w:pPr>
              <w:rPr>
                <w:sz w:val="20"/>
                <w:szCs w:val="20"/>
              </w:rPr>
            </w:pPr>
          </w:p>
          <w:p w:rsidR="004B4281" w:rsidRDefault="0024197D">
            <w:pPr>
              <w:rPr>
                <w:sz w:val="20"/>
                <w:szCs w:val="20"/>
              </w:rPr>
            </w:pPr>
            <w:r>
              <w:rPr>
                <w:sz w:val="20"/>
                <w:szCs w:val="20"/>
              </w:rPr>
              <w:t>El Bulldozer se suele utilizar para los procesos de nivelación del terreno. Este equipo puede demorar hasta 8 horas en realizar la realizar la nivelación de una hectárea. Sin embargo, la mayoría de las veces solo se utiliza en alguna zona específica del terreno. Según previo análisis topográfico</w:t>
            </w:r>
          </w:p>
        </w:tc>
      </w:tr>
      <w:tr w:rsidR="004B4281">
        <w:tc>
          <w:tcPr>
            <w:tcW w:w="3276" w:type="dxa"/>
          </w:tcPr>
          <w:p w:rsidR="004B4281" w:rsidRDefault="004B4281">
            <w:pPr>
              <w:pBdr>
                <w:top w:val="nil"/>
                <w:left w:val="nil"/>
                <w:bottom w:val="nil"/>
                <w:right w:val="nil"/>
                <w:between w:val="nil"/>
              </w:pBdr>
              <w:ind w:left="720"/>
              <w:rPr>
                <w:color w:val="000000"/>
                <w:sz w:val="20"/>
                <w:szCs w:val="20"/>
              </w:rPr>
            </w:pPr>
          </w:p>
          <w:p w:rsidR="004B4281" w:rsidRDefault="00D107D3">
            <w:pPr>
              <w:numPr>
                <w:ilvl w:val="0"/>
                <w:numId w:val="1"/>
              </w:numPr>
              <w:pBdr>
                <w:top w:val="nil"/>
                <w:left w:val="nil"/>
                <w:bottom w:val="nil"/>
                <w:right w:val="nil"/>
                <w:between w:val="nil"/>
              </w:pBdr>
              <w:rPr>
                <w:color w:val="000000"/>
                <w:sz w:val="20"/>
                <w:szCs w:val="20"/>
              </w:rPr>
            </w:pPr>
            <w:r>
              <w:rPr>
                <w:noProof/>
              </w:rPr>
              <w:drawing>
                <wp:anchor distT="0" distB="0" distL="114300" distR="114300" simplePos="0" relativeHeight="251659264" behindDoc="0" locked="0" layoutInCell="1" allowOverlap="1">
                  <wp:simplePos x="0" y="0"/>
                  <wp:positionH relativeFrom="column">
                    <wp:posOffset>341103</wp:posOffset>
                  </wp:positionH>
                  <wp:positionV relativeFrom="paragraph">
                    <wp:posOffset>238882</wp:posOffset>
                  </wp:positionV>
                  <wp:extent cx="1371419" cy="1033562"/>
                  <wp:effectExtent l="0" t="0" r="635" b="0"/>
                  <wp:wrapSquare wrapText="bothSides"/>
                  <wp:docPr id="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1371419" cy="1033562"/>
                          </a:xfrm>
                          <a:prstGeom prst="rect">
                            <a:avLst/>
                          </a:prstGeom>
                          <a:ln/>
                        </pic:spPr>
                      </pic:pic>
                    </a:graphicData>
                  </a:graphic>
                </wp:anchor>
              </w:drawing>
            </w:r>
            <w:r w:rsidR="0024197D">
              <w:rPr>
                <w:color w:val="000000"/>
                <w:sz w:val="20"/>
                <w:szCs w:val="20"/>
              </w:rPr>
              <w:t>Cosechadora de caña</w:t>
            </w:r>
          </w:p>
          <w:p w:rsidR="004B4281" w:rsidRDefault="004B4281">
            <w:pPr>
              <w:rPr>
                <w:sz w:val="20"/>
                <w:szCs w:val="20"/>
              </w:rPr>
            </w:pPr>
          </w:p>
        </w:tc>
        <w:tc>
          <w:tcPr>
            <w:tcW w:w="5218" w:type="dxa"/>
          </w:tcPr>
          <w:p w:rsidR="004B4281" w:rsidRDefault="004B4281">
            <w:pPr>
              <w:rPr>
                <w:sz w:val="20"/>
                <w:szCs w:val="20"/>
              </w:rPr>
            </w:pPr>
          </w:p>
          <w:p w:rsidR="004B4281" w:rsidRDefault="0024197D">
            <w:pPr>
              <w:rPr>
                <w:sz w:val="20"/>
                <w:szCs w:val="20"/>
              </w:rPr>
            </w:pPr>
            <w:r>
              <w:rPr>
                <w:sz w:val="20"/>
                <w:szCs w:val="20"/>
              </w:rPr>
              <w:t xml:space="preserve">Este es un equipo especializado para cortar caña de forma mecánica. Este equipo tiene un alto consumo de combustible ya que cuenta con potencias cercanas a los 300 HP. Es un equipo que se utiliza a lo largo del todo el año y según los ingenieros de campo de los ingenios, este equipo es operativo durante 5 años.  </w:t>
            </w:r>
          </w:p>
        </w:tc>
      </w:tr>
    </w:tbl>
    <w:p w:rsidR="004B4281" w:rsidRDefault="004B4281">
      <w:pPr>
        <w:pBdr>
          <w:top w:val="nil"/>
          <w:left w:val="nil"/>
          <w:bottom w:val="nil"/>
          <w:right w:val="nil"/>
          <w:between w:val="nil"/>
        </w:pBdr>
        <w:jc w:val="center"/>
      </w:pPr>
    </w:p>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24197D">
      <w:pPr>
        <w:keepNext/>
        <w:keepLines/>
        <w:numPr>
          <w:ilvl w:val="1"/>
          <w:numId w:val="4"/>
        </w:numPr>
        <w:pBdr>
          <w:top w:val="nil"/>
          <w:left w:val="nil"/>
          <w:bottom w:val="nil"/>
          <w:right w:val="nil"/>
          <w:between w:val="nil"/>
        </w:pBdr>
        <w:spacing w:before="360" w:after="80"/>
      </w:pPr>
      <w:bookmarkStart w:id="3" w:name="_heading=h.2et92p0" w:colFirst="0" w:colLast="0"/>
      <w:bookmarkEnd w:id="3"/>
      <w:r>
        <w:rPr>
          <w:b/>
          <w:color w:val="000000"/>
          <w:sz w:val="24"/>
          <w:szCs w:val="24"/>
        </w:rPr>
        <w:t>Energéticos empleados</w:t>
      </w:r>
    </w:p>
    <w:p w:rsidR="004B4281" w:rsidRDefault="0024197D">
      <w:pPr>
        <w:rPr>
          <w:i/>
        </w:rPr>
      </w:pPr>
      <w:r>
        <w:t xml:space="preserve">En relación a los energéticos utilizados, como se detalla en la siguiente tabla se identificaron el uso de gasolina, ACPM y energía eléctrica. el energético más demandado es el ACPM, principalmente debido al empleo de tractores, bulldozer y cosechadora. La gasolina se destina a la fumigación mediante motores de espalda, mientras que la energía eléctrica se utiliza como fuente de bombeo en los sistemas de riego. </w:t>
      </w:r>
    </w:p>
    <w:p w:rsidR="004B4281" w:rsidRDefault="004B4281"/>
    <w:p w:rsidR="004B4281" w:rsidRDefault="004B4281"/>
    <w:p w:rsidR="004B4281" w:rsidRDefault="004B4281"/>
    <w:p w:rsidR="004B4281" w:rsidRDefault="004B4281">
      <w:pPr>
        <w:rPr>
          <w:i/>
          <w:color w:val="44546A"/>
          <w:sz w:val="18"/>
          <w:szCs w:val="18"/>
        </w:rPr>
      </w:pPr>
    </w:p>
    <w:p w:rsidR="004B4281" w:rsidRDefault="0024197D">
      <w:pPr>
        <w:pBdr>
          <w:top w:val="nil"/>
          <w:left w:val="nil"/>
          <w:bottom w:val="nil"/>
          <w:right w:val="nil"/>
          <w:between w:val="nil"/>
        </w:pBdr>
        <w:jc w:val="center"/>
      </w:pPr>
      <w:r>
        <w:rPr>
          <w:b/>
        </w:rPr>
        <w:t>Tabla 5.</w:t>
      </w:r>
      <w:r>
        <w:t xml:space="preserve">  Energéticos empleados por proceso</w:t>
      </w:r>
    </w:p>
    <w:p w:rsidR="004B4281" w:rsidRDefault="004B4281">
      <w:pPr>
        <w:pBdr>
          <w:top w:val="nil"/>
          <w:left w:val="nil"/>
          <w:bottom w:val="nil"/>
          <w:right w:val="nil"/>
          <w:between w:val="nil"/>
        </w:pBdr>
        <w:jc w:val="center"/>
        <w:rPr>
          <w:color w:val="000000"/>
          <w:sz w:val="18"/>
          <w:szCs w:val="18"/>
        </w:rPr>
      </w:pPr>
    </w:p>
    <w:tbl>
      <w:tblPr>
        <w:tblStyle w:val="a3"/>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45"/>
        <w:gridCol w:w="1648"/>
        <w:gridCol w:w="1573"/>
        <w:gridCol w:w="1564"/>
        <w:gridCol w:w="1564"/>
      </w:tblGrid>
      <w:tr w:rsidR="004B4281">
        <w:trPr>
          <w:trHeight w:val="705"/>
        </w:trPr>
        <w:tc>
          <w:tcPr>
            <w:tcW w:w="2145" w:type="dxa"/>
            <w:shd w:val="clear" w:color="auto" w:fill="25A18E"/>
            <w:vAlign w:val="center"/>
          </w:tcPr>
          <w:p w:rsidR="004B4281" w:rsidRDefault="0024197D">
            <w:pPr>
              <w:jc w:val="center"/>
              <w:rPr>
                <w:b/>
                <w:color w:val="000000"/>
                <w:sz w:val="20"/>
                <w:szCs w:val="20"/>
              </w:rPr>
            </w:pPr>
            <w:r>
              <w:rPr>
                <w:b/>
                <w:color w:val="000000"/>
                <w:sz w:val="20"/>
                <w:szCs w:val="20"/>
              </w:rPr>
              <w:t>Grupo Homogéneo</w:t>
            </w:r>
          </w:p>
        </w:tc>
        <w:tc>
          <w:tcPr>
            <w:tcW w:w="1648" w:type="dxa"/>
            <w:shd w:val="clear" w:color="auto" w:fill="25A18E"/>
            <w:vAlign w:val="center"/>
          </w:tcPr>
          <w:p w:rsidR="004B4281" w:rsidRDefault="0024197D">
            <w:pPr>
              <w:jc w:val="center"/>
              <w:rPr>
                <w:b/>
                <w:color w:val="000000"/>
                <w:sz w:val="20"/>
                <w:szCs w:val="20"/>
              </w:rPr>
            </w:pPr>
            <w:r>
              <w:rPr>
                <w:b/>
                <w:color w:val="000000"/>
                <w:sz w:val="20"/>
                <w:szCs w:val="20"/>
              </w:rPr>
              <w:t>Proceso</w:t>
            </w:r>
          </w:p>
        </w:tc>
        <w:tc>
          <w:tcPr>
            <w:tcW w:w="1573" w:type="dxa"/>
            <w:shd w:val="clear" w:color="auto" w:fill="25A18E"/>
            <w:vAlign w:val="center"/>
          </w:tcPr>
          <w:p w:rsidR="004B4281" w:rsidRDefault="0024197D">
            <w:pPr>
              <w:jc w:val="center"/>
              <w:rPr>
                <w:b/>
                <w:color w:val="000000"/>
                <w:sz w:val="20"/>
                <w:szCs w:val="20"/>
              </w:rPr>
            </w:pPr>
            <w:r>
              <w:rPr>
                <w:b/>
                <w:color w:val="000000"/>
                <w:sz w:val="20"/>
                <w:szCs w:val="20"/>
              </w:rPr>
              <w:t>Equipo</w:t>
            </w:r>
          </w:p>
        </w:tc>
        <w:tc>
          <w:tcPr>
            <w:tcW w:w="1564" w:type="dxa"/>
            <w:shd w:val="clear" w:color="auto" w:fill="25A18E"/>
            <w:vAlign w:val="center"/>
          </w:tcPr>
          <w:p w:rsidR="004B4281" w:rsidRDefault="0024197D">
            <w:pPr>
              <w:jc w:val="center"/>
              <w:rPr>
                <w:b/>
                <w:color w:val="000000"/>
                <w:sz w:val="20"/>
                <w:szCs w:val="20"/>
              </w:rPr>
            </w:pPr>
            <w:r>
              <w:rPr>
                <w:b/>
                <w:color w:val="000000"/>
                <w:sz w:val="20"/>
                <w:szCs w:val="20"/>
              </w:rPr>
              <w:t>Uso final de energía</w:t>
            </w:r>
          </w:p>
        </w:tc>
        <w:tc>
          <w:tcPr>
            <w:tcW w:w="1564" w:type="dxa"/>
            <w:shd w:val="clear" w:color="auto" w:fill="25A18E"/>
            <w:vAlign w:val="center"/>
          </w:tcPr>
          <w:p w:rsidR="004B4281" w:rsidRDefault="0024197D">
            <w:pPr>
              <w:jc w:val="center"/>
              <w:rPr>
                <w:b/>
                <w:color w:val="000000"/>
                <w:sz w:val="20"/>
                <w:szCs w:val="20"/>
              </w:rPr>
            </w:pPr>
            <w:r>
              <w:rPr>
                <w:b/>
                <w:color w:val="000000"/>
                <w:sz w:val="20"/>
                <w:szCs w:val="20"/>
              </w:rPr>
              <w:t>Energético</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Cosecha</w:t>
            </w:r>
          </w:p>
        </w:tc>
        <w:tc>
          <w:tcPr>
            <w:tcW w:w="1573" w:type="dxa"/>
            <w:vAlign w:val="center"/>
          </w:tcPr>
          <w:p w:rsidR="004B4281" w:rsidRDefault="0024197D">
            <w:pPr>
              <w:jc w:val="center"/>
              <w:rPr>
                <w:color w:val="000000"/>
                <w:sz w:val="20"/>
                <w:szCs w:val="20"/>
              </w:rPr>
            </w:pPr>
            <w:r>
              <w:rPr>
                <w:color w:val="000000"/>
                <w:sz w:val="20"/>
                <w:szCs w:val="20"/>
              </w:rPr>
              <w:t>Tractor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Cosecha</w:t>
            </w:r>
          </w:p>
        </w:tc>
        <w:tc>
          <w:tcPr>
            <w:tcW w:w="1573" w:type="dxa"/>
            <w:vAlign w:val="center"/>
          </w:tcPr>
          <w:p w:rsidR="004B4281" w:rsidRDefault="0024197D">
            <w:pPr>
              <w:jc w:val="center"/>
              <w:rPr>
                <w:color w:val="000000"/>
                <w:sz w:val="20"/>
                <w:szCs w:val="20"/>
              </w:rPr>
            </w:pPr>
            <w:r>
              <w:rPr>
                <w:color w:val="000000"/>
                <w:sz w:val="20"/>
                <w:szCs w:val="20"/>
              </w:rPr>
              <w:t>Cosechadora mecánica</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Cosecha</w:t>
            </w:r>
          </w:p>
        </w:tc>
        <w:tc>
          <w:tcPr>
            <w:tcW w:w="1573" w:type="dxa"/>
            <w:vAlign w:val="center"/>
          </w:tcPr>
          <w:p w:rsidR="004B4281" w:rsidRDefault="0024197D">
            <w:pPr>
              <w:jc w:val="center"/>
              <w:rPr>
                <w:color w:val="000000"/>
                <w:sz w:val="20"/>
                <w:szCs w:val="20"/>
              </w:rPr>
            </w:pPr>
            <w:r>
              <w:rPr>
                <w:color w:val="000000"/>
                <w:sz w:val="20"/>
                <w:szCs w:val="20"/>
              </w:rPr>
              <w:t>Alzadora</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Fertilización</w:t>
            </w:r>
          </w:p>
        </w:tc>
        <w:tc>
          <w:tcPr>
            <w:tcW w:w="1573" w:type="dxa"/>
            <w:vAlign w:val="center"/>
          </w:tcPr>
          <w:p w:rsidR="004B4281" w:rsidRDefault="0024197D">
            <w:pPr>
              <w:jc w:val="center"/>
              <w:rPr>
                <w:color w:val="000000"/>
                <w:sz w:val="20"/>
                <w:szCs w:val="20"/>
              </w:rPr>
            </w:pPr>
            <w:r>
              <w:rPr>
                <w:color w:val="000000"/>
                <w:sz w:val="20"/>
                <w:szCs w:val="20"/>
              </w:rPr>
              <w:t>Tractor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Fumigación</w:t>
            </w:r>
          </w:p>
        </w:tc>
        <w:tc>
          <w:tcPr>
            <w:tcW w:w="1573" w:type="dxa"/>
            <w:vAlign w:val="center"/>
          </w:tcPr>
          <w:p w:rsidR="004B4281" w:rsidRDefault="0024197D">
            <w:pPr>
              <w:jc w:val="center"/>
              <w:rPr>
                <w:color w:val="000000"/>
                <w:sz w:val="20"/>
                <w:szCs w:val="20"/>
              </w:rPr>
            </w:pPr>
            <w:r>
              <w:rPr>
                <w:color w:val="000000"/>
                <w:sz w:val="20"/>
                <w:szCs w:val="20"/>
              </w:rPr>
              <w:t>Bomba</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Fumigación</w:t>
            </w:r>
          </w:p>
        </w:tc>
        <w:tc>
          <w:tcPr>
            <w:tcW w:w="1573" w:type="dxa"/>
            <w:vAlign w:val="center"/>
          </w:tcPr>
          <w:p w:rsidR="004B4281" w:rsidRDefault="0024197D">
            <w:pPr>
              <w:jc w:val="center"/>
              <w:rPr>
                <w:color w:val="000000"/>
                <w:sz w:val="20"/>
                <w:szCs w:val="20"/>
              </w:rPr>
            </w:pPr>
            <w:r>
              <w:rPr>
                <w:color w:val="000000"/>
                <w:sz w:val="20"/>
                <w:szCs w:val="20"/>
              </w:rPr>
              <w:t>Tractor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70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Fumigación</w:t>
            </w:r>
          </w:p>
        </w:tc>
        <w:tc>
          <w:tcPr>
            <w:tcW w:w="1573" w:type="dxa"/>
            <w:vAlign w:val="center"/>
          </w:tcPr>
          <w:p w:rsidR="004B4281" w:rsidRDefault="0024197D">
            <w:pPr>
              <w:jc w:val="center"/>
              <w:rPr>
                <w:color w:val="000000"/>
                <w:sz w:val="20"/>
                <w:szCs w:val="20"/>
              </w:rPr>
            </w:pPr>
            <w:r>
              <w:rPr>
                <w:color w:val="000000"/>
                <w:sz w:val="20"/>
                <w:szCs w:val="20"/>
              </w:rPr>
              <w:t>Aguilón</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Gasolina</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Fumigación</w:t>
            </w:r>
          </w:p>
        </w:tc>
        <w:tc>
          <w:tcPr>
            <w:tcW w:w="1573" w:type="dxa"/>
            <w:vAlign w:val="center"/>
          </w:tcPr>
          <w:p w:rsidR="004B4281" w:rsidRDefault="0024197D">
            <w:pPr>
              <w:jc w:val="center"/>
              <w:rPr>
                <w:color w:val="000000"/>
                <w:sz w:val="20"/>
                <w:szCs w:val="20"/>
              </w:rPr>
            </w:pPr>
            <w:r>
              <w:rPr>
                <w:color w:val="000000"/>
                <w:sz w:val="20"/>
                <w:szCs w:val="20"/>
              </w:rPr>
              <w:t>Avioneta</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Gasolina</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Fumigación</w:t>
            </w:r>
          </w:p>
        </w:tc>
        <w:tc>
          <w:tcPr>
            <w:tcW w:w="1573" w:type="dxa"/>
            <w:vAlign w:val="center"/>
          </w:tcPr>
          <w:p w:rsidR="004B4281" w:rsidRDefault="0024197D">
            <w:pPr>
              <w:jc w:val="center"/>
              <w:rPr>
                <w:color w:val="000000"/>
                <w:sz w:val="20"/>
                <w:szCs w:val="20"/>
              </w:rPr>
            </w:pPr>
            <w:r>
              <w:rPr>
                <w:color w:val="000000"/>
                <w:sz w:val="20"/>
                <w:szCs w:val="20"/>
              </w:rPr>
              <w:t>Buseta</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Mantenimiento</w:t>
            </w:r>
          </w:p>
        </w:tc>
        <w:tc>
          <w:tcPr>
            <w:tcW w:w="1573" w:type="dxa"/>
            <w:vAlign w:val="center"/>
          </w:tcPr>
          <w:p w:rsidR="004B4281" w:rsidRDefault="0024197D">
            <w:pPr>
              <w:jc w:val="center"/>
              <w:rPr>
                <w:color w:val="000000"/>
                <w:sz w:val="20"/>
                <w:szCs w:val="20"/>
              </w:rPr>
            </w:pPr>
            <w:r>
              <w:rPr>
                <w:color w:val="000000"/>
                <w:sz w:val="20"/>
                <w:szCs w:val="20"/>
              </w:rPr>
              <w:t>Tractor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Preparación del terreno</w:t>
            </w:r>
          </w:p>
        </w:tc>
        <w:tc>
          <w:tcPr>
            <w:tcW w:w="1573" w:type="dxa"/>
            <w:vAlign w:val="center"/>
          </w:tcPr>
          <w:p w:rsidR="004B4281" w:rsidRDefault="0024197D">
            <w:pPr>
              <w:jc w:val="center"/>
              <w:rPr>
                <w:color w:val="000000"/>
                <w:sz w:val="20"/>
                <w:szCs w:val="20"/>
              </w:rPr>
            </w:pPr>
            <w:r>
              <w:rPr>
                <w:color w:val="000000"/>
                <w:sz w:val="20"/>
                <w:szCs w:val="20"/>
              </w:rPr>
              <w:t>Tractor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Preparación del terreno</w:t>
            </w:r>
          </w:p>
        </w:tc>
        <w:tc>
          <w:tcPr>
            <w:tcW w:w="1573" w:type="dxa"/>
            <w:vAlign w:val="center"/>
          </w:tcPr>
          <w:p w:rsidR="004B4281" w:rsidRDefault="0024197D">
            <w:pPr>
              <w:jc w:val="center"/>
              <w:rPr>
                <w:color w:val="000000"/>
                <w:sz w:val="20"/>
                <w:szCs w:val="20"/>
              </w:rPr>
            </w:pPr>
            <w:r>
              <w:rPr>
                <w:color w:val="000000"/>
                <w:sz w:val="20"/>
                <w:szCs w:val="20"/>
              </w:rPr>
              <w:t>Bulldozer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Preparación del terreno</w:t>
            </w:r>
          </w:p>
        </w:tc>
        <w:tc>
          <w:tcPr>
            <w:tcW w:w="1573" w:type="dxa"/>
            <w:vAlign w:val="center"/>
          </w:tcPr>
          <w:p w:rsidR="004B4281" w:rsidRDefault="0024197D">
            <w:pPr>
              <w:jc w:val="center"/>
              <w:rPr>
                <w:color w:val="000000"/>
                <w:sz w:val="20"/>
                <w:szCs w:val="20"/>
              </w:rPr>
            </w:pPr>
            <w:r>
              <w:rPr>
                <w:color w:val="000000"/>
                <w:sz w:val="20"/>
                <w:szCs w:val="20"/>
              </w:rPr>
              <w:t>Oruga</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Preparación del terreno</w:t>
            </w:r>
          </w:p>
        </w:tc>
        <w:tc>
          <w:tcPr>
            <w:tcW w:w="1573" w:type="dxa"/>
            <w:vAlign w:val="center"/>
          </w:tcPr>
          <w:p w:rsidR="004B4281" w:rsidRDefault="0024197D">
            <w:pPr>
              <w:jc w:val="center"/>
              <w:rPr>
                <w:color w:val="000000"/>
                <w:sz w:val="20"/>
                <w:szCs w:val="20"/>
              </w:rPr>
            </w:pPr>
            <w:r>
              <w:rPr>
                <w:color w:val="000000"/>
                <w:sz w:val="20"/>
                <w:szCs w:val="20"/>
              </w:rPr>
              <w:t>Bulldozer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Preparación del terreno</w:t>
            </w:r>
          </w:p>
        </w:tc>
        <w:tc>
          <w:tcPr>
            <w:tcW w:w="1573" w:type="dxa"/>
            <w:vAlign w:val="center"/>
          </w:tcPr>
          <w:p w:rsidR="004B4281" w:rsidRDefault="0024197D">
            <w:pPr>
              <w:jc w:val="center"/>
              <w:rPr>
                <w:color w:val="000000"/>
                <w:sz w:val="20"/>
                <w:szCs w:val="20"/>
              </w:rPr>
            </w:pPr>
            <w:r>
              <w:rPr>
                <w:color w:val="000000"/>
                <w:sz w:val="20"/>
                <w:szCs w:val="20"/>
              </w:rPr>
              <w:t>Retroexcavadoras</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Siembra</w:t>
            </w:r>
          </w:p>
        </w:tc>
        <w:tc>
          <w:tcPr>
            <w:tcW w:w="1573" w:type="dxa"/>
            <w:vAlign w:val="center"/>
          </w:tcPr>
          <w:p w:rsidR="004B4281" w:rsidRDefault="0024197D">
            <w:pPr>
              <w:jc w:val="center"/>
              <w:rPr>
                <w:color w:val="000000"/>
                <w:sz w:val="20"/>
                <w:szCs w:val="20"/>
              </w:rPr>
            </w:pPr>
            <w:r>
              <w:rPr>
                <w:color w:val="000000"/>
                <w:sz w:val="20"/>
                <w:szCs w:val="20"/>
              </w:rPr>
              <w:t>Volqueta</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Sistema de Riego y drenaje</w:t>
            </w:r>
          </w:p>
        </w:tc>
        <w:tc>
          <w:tcPr>
            <w:tcW w:w="1573" w:type="dxa"/>
            <w:vAlign w:val="center"/>
          </w:tcPr>
          <w:p w:rsidR="004B4281" w:rsidRDefault="0024197D">
            <w:pPr>
              <w:jc w:val="center"/>
              <w:rPr>
                <w:color w:val="000000"/>
                <w:sz w:val="20"/>
                <w:szCs w:val="20"/>
              </w:rPr>
            </w:pPr>
            <w:r>
              <w:rPr>
                <w:color w:val="000000"/>
                <w:sz w:val="20"/>
                <w:szCs w:val="20"/>
              </w:rPr>
              <w:t>Tractor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Sistema de Riego y drenaje</w:t>
            </w:r>
          </w:p>
        </w:tc>
        <w:tc>
          <w:tcPr>
            <w:tcW w:w="1573" w:type="dxa"/>
            <w:vAlign w:val="center"/>
          </w:tcPr>
          <w:p w:rsidR="004B4281" w:rsidRDefault="0024197D">
            <w:pPr>
              <w:jc w:val="center"/>
              <w:rPr>
                <w:color w:val="000000"/>
                <w:sz w:val="20"/>
                <w:szCs w:val="20"/>
              </w:rPr>
            </w:pPr>
            <w:r>
              <w:rPr>
                <w:color w:val="000000"/>
                <w:sz w:val="20"/>
                <w:szCs w:val="20"/>
              </w:rPr>
              <w:t xml:space="preserve">Electrobomba </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Energía Eléctrica</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Sistema de Riego y drenaje</w:t>
            </w:r>
          </w:p>
        </w:tc>
        <w:tc>
          <w:tcPr>
            <w:tcW w:w="1573" w:type="dxa"/>
            <w:vAlign w:val="center"/>
          </w:tcPr>
          <w:p w:rsidR="004B4281" w:rsidRDefault="0024197D">
            <w:pPr>
              <w:jc w:val="center"/>
              <w:rPr>
                <w:color w:val="000000"/>
                <w:sz w:val="20"/>
                <w:szCs w:val="20"/>
              </w:rPr>
            </w:pPr>
            <w:r>
              <w:rPr>
                <w:color w:val="000000"/>
                <w:sz w:val="20"/>
                <w:szCs w:val="20"/>
              </w:rPr>
              <w:t>Pozos de riego</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Sistema de Riego y drenaje</w:t>
            </w:r>
          </w:p>
        </w:tc>
        <w:tc>
          <w:tcPr>
            <w:tcW w:w="1573" w:type="dxa"/>
            <w:vAlign w:val="center"/>
          </w:tcPr>
          <w:p w:rsidR="004B4281" w:rsidRDefault="0024197D">
            <w:pPr>
              <w:jc w:val="center"/>
              <w:rPr>
                <w:color w:val="000000"/>
                <w:sz w:val="20"/>
                <w:szCs w:val="20"/>
              </w:rPr>
            </w:pPr>
            <w:r>
              <w:rPr>
                <w:color w:val="000000"/>
                <w:sz w:val="20"/>
                <w:szCs w:val="20"/>
              </w:rPr>
              <w:t>Pozos de riego</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Energía Eléctrica</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Sistema de Riego y drenaje</w:t>
            </w:r>
          </w:p>
        </w:tc>
        <w:tc>
          <w:tcPr>
            <w:tcW w:w="1573" w:type="dxa"/>
            <w:vAlign w:val="center"/>
          </w:tcPr>
          <w:p w:rsidR="004B4281" w:rsidRDefault="0024197D">
            <w:pPr>
              <w:jc w:val="center"/>
              <w:rPr>
                <w:color w:val="000000"/>
                <w:sz w:val="20"/>
                <w:szCs w:val="20"/>
              </w:rPr>
            </w:pPr>
            <w:r>
              <w:rPr>
                <w:color w:val="000000"/>
                <w:sz w:val="20"/>
                <w:szCs w:val="20"/>
              </w:rPr>
              <w:t>Bulldozer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Sistema de Riego y drenaje</w:t>
            </w:r>
          </w:p>
        </w:tc>
        <w:tc>
          <w:tcPr>
            <w:tcW w:w="1573" w:type="dxa"/>
            <w:vAlign w:val="center"/>
          </w:tcPr>
          <w:p w:rsidR="004B4281" w:rsidRDefault="0024197D">
            <w:pPr>
              <w:jc w:val="center"/>
              <w:rPr>
                <w:color w:val="000000"/>
                <w:sz w:val="20"/>
                <w:szCs w:val="20"/>
              </w:rPr>
            </w:pPr>
            <w:r>
              <w:rPr>
                <w:color w:val="000000"/>
                <w:sz w:val="20"/>
                <w:szCs w:val="20"/>
              </w:rPr>
              <w:t>Motobombas</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465"/>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Sistema de Riego y drenaje</w:t>
            </w:r>
          </w:p>
        </w:tc>
        <w:tc>
          <w:tcPr>
            <w:tcW w:w="1573" w:type="dxa"/>
            <w:vAlign w:val="center"/>
          </w:tcPr>
          <w:p w:rsidR="004B4281" w:rsidRDefault="0024197D">
            <w:pPr>
              <w:jc w:val="center"/>
              <w:rPr>
                <w:color w:val="000000"/>
                <w:sz w:val="20"/>
                <w:szCs w:val="20"/>
              </w:rPr>
            </w:pPr>
            <w:r>
              <w:rPr>
                <w:color w:val="000000"/>
                <w:sz w:val="20"/>
                <w:szCs w:val="20"/>
              </w:rPr>
              <w:t>Excavadoras</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Transporte interno</w:t>
            </w:r>
          </w:p>
        </w:tc>
        <w:tc>
          <w:tcPr>
            <w:tcW w:w="1573" w:type="dxa"/>
            <w:vAlign w:val="center"/>
          </w:tcPr>
          <w:p w:rsidR="004B4281" w:rsidRDefault="0024197D">
            <w:pPr>
              <w:jc w:val="center"/>
              <w:rPr>
                <w:color w:val="000000"/>
                <w:sz w:val="20"/>
                <w:szCs w:val="20"/>
              </w:rPr>
            </w:pPr>
            <w:r>
              <w:rPr>
                <w:color w:val="000000"/>
                <w:sz w:val="20"/>
                <w:szCs w:val="20"/>
              </w:rPr>
              <w:t>Tracto</w:t>
            </w:r>
            <w:r w:rsidR="00CD5A50">
              <w:rPr>
                <w:color w:val="000000"/>
                <w:sz w:val="20"/>
                <w:szCs w:val="20"/>
              </w:rPr>
              <w:t xml:space="preserve"> </w:t>
            </w:r>
            <w:r>
              <w:rPr>
                <w:color w:val="000000"/>
                <w:sz w:val="20"/>
                <w:szCs w:val="20"/>
              </w:rPr>
              <w:t>mula</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Cultivo</w:t>
            </w:r>
          </w:p>
        </w:tc>
        <w:tc>
          <w:tcPr>
            <w:tcW w:w="1573" w:type="dxa"/>
            <w:vAlign w:val="center"/>
          </w:tcPr>
          <w:p w:rsidR="004B4281" w:rsidRDefault="0024197D">
            <w:pPr>
              <w:jc w:val="center"/>
              <w:rPr>
                <w:color w:val="000000"/>
                <w:sz w:val="20"/>
                <w:szCs w:val="20"/>
              </w:rPr>
            </w:pPr>
            <w:r>
              <w:rPr>
                <w:color w:val="000000"/>
                <w:sz w:val="20"/>
                <w:szCs w:val="20"/>
              </w:rPr>
              <w:t>Tractor</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r w:rsidR="004B4281">
        <w:trPr>
          <w:trHeight w:val="300"/>
        </w:trPr>
        <w:tc>
          <w:tcPr>
            <w:tcW w:w="2145" w:type="dxa"/>
            <w:vAlign w:val="center"/>
          </w:tcPr>
          <w:p w:rsidR="004B4281" w:rsidRDefault="0024197D">
            <w:pPr>
              <w:jc w:val="center"/>
              <w:rPr>
                <w:color w:val="000000"/>
                <w:sz w:val="20"/>
                <w:szCs w:val="20"/>
              </w:rPr>
            </w:pPr>
            <w:r>
              <w:rPr>
                <w:color w:val="000000"/>
                <w:sz w:val="20"/>
                <w:szCs w:val="20"/>
              </w:rPr>
              <w:t>Caña de azúcar</w:t>
            </w:r>
          </w:p>
        </w:tc>
        <w:tc>
          <w:tcPr>
            <w:tcW w:w="1648" w:type="dxa"/>
            <w:vAlign w:val="center"/>
          </w:tcPr>
          <w:p w:rsidR="004B4281" w:rsidRDefault="0024197D">
            <w:pPr>
              <w:jc w:val="center"/>
              <w:rPr>
                <w:color w:val="000000"/>
                <w:sz w:val="20"/>
                <w:szCs w:val="20"/>
              </w:rPr>
            </w:pPr>
            <w:r>
              <w:rPr>
                <w:color w:val="000000"/>
                <w:sz w:val="20"/>
                <w:szCs w:val="20"/>
              </w:rPr>
              <w:t>Cultivo</w:t>
            </w:r>
          </w:p>
        </w:tc>
        <w:tc>
          <w:tcPr>
            <w:tcW w:w="1573" w:type="dxa"/>
            <w:vAlign w:val="center"/>
          </w:tcPr>
          <w:p w:rsidR="004B4281" w:rsidRDefault="0024197D">
            <w:pPr>
              <w:jc w:val="center"/>
              <w:rPr>
                <w:color w:val="000000"/>
                <w:sz w:val="20"/>
                <w:szCs w:val="20"/>
              </w:rPr>
            </w:pPr>
            <w:r>
              <w:rPr>
                <w:color w:val="000000"/>
                <w:sz w:val="20"/>
                <w:szCs w:val="20"/>
              </w:rPr>
              <w:t>Camión</w:t>
            </w:r>
          </w:p>
        </w:tc>
        <w:tc>
          <w:tcPr>
            <w:tcW w:w="1564" w:type="dxa"/>
            <w:vAlign w:val="center"/>
          </w:tcPr>
          <w:p w:rsidR="004B4281" w:rsidRDefault="0024197D">
            <w:pPr>
              <w:jc w:val="center"/>
              <w:rPr>
                <w:color w:val="000000"/>
                <w:sz w:val="20"/>
                <w:szCs w:val="20"/>
              </w:rPr>
            </w:pPr>
            <w:r>
              <w:rPr>
                <w:color w:val="000000"/>
                <w:sz w:val="20"/>
                <w:szCs w:val="20"/>
              </w:rPr>
              <w:t>Fuerza motriz</w:t>
            </w:r>
          </w:p>
        </w:tc>
        <w:tc>
          <w:tcPr>
            <w:tcW w:w="1564" w:type="dxa"/>
            <w:vAlign w:val="center"/>
          </w:tcPr>
          <w:p w:rsidR="004B4281" w:rsidRDefault="0024197D">
            <w:pPr>
              <w:jc w:val="center"/>
              <w:rPr>
                <w:color w:val="000000"/>
                <w:sz w:val="20"/>
                <w:szCs w:val="20"/>
              </w:rPr>
            </w:pPr>
            <w:r>
              <w:rPr>
                <w:color w:val="000000"/>
                <w:sz w:val="20"/>
                <w:szCs w:val="20"/>
              </w:rPr>
              <w:t>ACPM</w:t>
            </w:r>
          </w:p>
        </w:tc>
      </w:tr>
    </w:tbl>
    <w:p w:rsidR="004B4281" w:rsidRDefault="0024197D" w:rsidP="005673B8">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24197D">
      <w:pPr>
        <w:keepNext/>
        <w:keepLines/>
        <w:numPr>
          <w:ilvl w:val="1"/>
          <w:numId w:val="4"/>
        </w:numPr>
        <w:pBdr>
          <w:top w:val="nil"/>
          <w:left w:val="nil"/>
          <w:bottom w:val="nil"/>
          <w:right w:val="nil"/>
          <w:between w:val="nil"/>
        </w:pBdr>
        <w:spacing w:before="360" w:after="80"/>
      </w:pPr>
      <w:bookmarkStart w:id="4" w:name="_heading=h.tyjcwt" w:colFirst="0" w:colLast="0"/>
      <w:bookmarkEnd w:id="4"/>
      <w:r>
        <w:rPr>
          <w:b/>
          <w:color w:val="000000"/>
          <w:sz w:val="24"/>
          <w:szCs w:val="24"/>
        </w:rPr>
        <w:lastRenderedPageBreak/>
        <w:t>Biomasa residual y potencial de aprovechamiento energético</w:t>
      </w:r>
    </w:p>
    <w:p w:rsidR="004B4281" w:rsidRDefault="0024197D">
      <w:r>
        <w:t xml:space="preserve">La gestión de residuos en el cultivo de caña de azúcar incluye principalmente los restos de hojas y tallos que quedan en el campo después de la cosecha. Anteriormente se solía realizar la cosecha a través de la quema previa del cultivo, esto permitía eliminar los residuos de biomasa y hacer que la cosecha fuera mucho más eficiente, pero con fuertes impactos ambientales. </w:t>
      </w:r>
    </w:p>
    <w:p w:rsidR="004B4281" w:rsidRDefault="0024197D">
      <w:r>
        <w:t xml:space="preserve">Esta práctica cada vez es menos usada y está destinada a desaparecer, por este motivo actualmente los residuos de caña permanecen en el campo y son utilizados como capa protectora del suelo y abono orgánico para las plantas.  </w:t>
      </w:r>
    </w:p>
    <w:p w:rsidR="004B4281" w:rsidRDefault="0024197D">
      <w:r>
        <w:t xml:space="preserve">Teóricamente estos residuos tienen potencial de ser aprovechados como energético para procesos de calor en la industria azucarera, sin embargo, los costos y el gasto energético que esto implica, hace poco viable esta solución. </w:t>
      </w:r>
    </w:p>
    <w:p w:rsidR="004B4281" w:rsidRDefault="0024197D">
      <w:pPr>
        <w:keepNext/>
        <w:keepLines/>
        <w:numPr>
          <w:ilvl w:val="1"/>
          <w:numId w:val="4"/>
        </w:numPr>
        <w:pBdr>
          <w:top w:val="nil"/>
          <w:left w:val="nil"/>
          <w:bottom w:val="nil"/>
          <w:right w:val="nil"/>
          <w:between w:val="nil"/>
        </w:pBdr>
        <w:spacing w:before="360" w:after="80"/>
      </w:pPr>
      <w:r>
        <w:rPr>
          <w:b/>
          <w:color w:val="000000"/>
          <w:sz w:val="24"/>
          <w:szCs w:val="24"/>
        </w:rPr>
        <w:t>Indicadores</w:t>
      </w:r>
    </w:p>
    <w:p w:rsidR="004B4281" w:rsidRDefault="0024197D">
      <w:pPr>
        <w:rPr>
          <w:i/>
        </w:rPr>
      </w:pPr>
      <w:r>
        <w:t>En la fase inicial del cálculo de indicadores, se procedió a segmentar el consumo de energéticos en siete (7) grupos de uso final. En este contexto, los resultados revelan que el 100%, corresponde al uso final de fuerza motriz.</w:t>
      </w:r>
    </w:p>
    <w:p w:rsidR="004B4281" w:rsidRDefault="004B4281">
      <w:pPr>
        <w:pBdr>
          <w:top w:val="nil"/>
          <w:left w:val="nil"/>
          <w:bottom w:val="nil"/>
          <w:right w:val="nil"/>
          <w:between w:val="nil"/>
        </w:pBdr>
        <w:rPr>
          <w:i/>
          <w:color w:val="44546A"/>
          <w:sz w:val="18"/>
          <w:szCs w:val="18"/>
        </w:rPr>
      </w:pPr>
    </w:p>
    <w:p w:rsidR="004B4281" w:rsidRDefault="0024197D">
      <w:pPr>
        <w:pBdr>
          <w:top w:val="nil"/>
          <w:left w:val="nil"/>
          <w:bottom w:val="nil"/>
          <w:right w:val="nil"/>
          <w:between w:val="nil"/>
        </w:pBdr>
        <w:jc w:val="center"/>
      </w:pPr>
      <w:r>
        <w:rPr>
          <w:b/>
        </w:rPr>
        <w:t>Tabla 6.</w:t>
      </w:r>
      <w:r>
        <w:t xml:space="preserve">  Energéticos empleados por uso final</w:t>
      </w:r>
    </w:p>
    <w:tbl>
      <w:tblPr>
        <w:tblStyle w:val="a4"/>
        <w:tblW w:w="8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266"/>
        <w:gridCol w:w="904"/>
        <w:gridCol w:w="1211"/>
        <w:gridCol w:w="739"/>
        <w:gridCol w:w="1056"/>
        <w:gridCol w:w="580"/>
        <w:gridCol w:w="1200"/>
        <w:gridCol w:w="789"/>
        <w:gridCol w:w="739"/>
      </w:tblGrid>
      <w:tr w:rsidR="004B4281">
        <w:trPr>
          <w:trHeight w:val="257"/>
        </w:trPr>
        <w:tc>
          <w:tcPr>
            <w:tcW w:w="126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Grupo Homogéneo</w:t>
            </w:r>
          </w:p>
        </w:tc>
        <w:tc>
          <w:tcPr>
            <w:tcW w:w="904"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Calor directo</w:t>
            </w:r>
          </w:p>
        </w:tc>
        <w:tc>
          <w:tcPr>
            <w:tcW w:w="12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Climatización</w:t>
            </w:r>
          </w:p>
        </w:tc>
        <w:tc>
          <w:tcPr>
            <w:tcW w:w="73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Fuerza motriz</w:t>
            </w:r>
          </w:p>
        </w:tc>
        <w:tc>
          <w:tcPr>
            <w:tcW w:w="10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Iluminación</w:t>
            </w:r>
          </w:p>
        </w:tc>
        <w:tc>
          <w:tcPr>
            <w:tcW w:w="58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Otros</w:t>
            </w:r>
          </w:p>
        </w:tc>
        <w:tc>
          <w:tcPr>
            <w:tcW w:w="120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Refrigeración</w:t>
            </w:r>
          </w:p>
        </w:tc>
        <w:tc>
          <w:tcPr>
            <w:tcW w:w="78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Calor indirecto</w:t>
            </w:r>
          </w:p>
        </w:tc>
        <w:tc>
          <w:tcPr>
            <w:tcW w:w="73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4B4281" w:rsidRDefault="0024197D">
            <w:pPr>
              <w:jc w:val="center"/>
              <w:rPr>
                <w:b/>
                <w:sz w:val="20"/>
                <w:szCs w:val="20"/>
              </w:rPr>
            </w:pPr>
            <w:r>
              <w:rPr>
                <w:b/>
                <w:sz w:val="20"/>
                <w:szCs w:val="20"/>
              </w:rPr>
              <w:t>Total</w:t>
            </w:r>
          </w:p>
        </w:tc>
      </w:tr>
      <w:tr w:rsidR="004B4281">
        <w:trPr>
          <w:trHeight w:val="55"/>
        </w:trPr>
        <w:tc>
          <w:tcPr>
            <w:tcW w:w="126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Frutas con poca mecanización</w:t>
            </w:r>
          </w:p>
        </w:tc>
        <w:tc>
          <w:tcPr>
            <w:tcW w:w="904"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0,00%</w:t>
            </w:r>
          </w:p>
        </w:tc>
        <w:tc>
          <w:tcPr>
            <w:tcW w:w="12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0,00%</w:t>
            </w:r>
          </w:p>
        </w:tc>
        <w:tc>
          <w:tcPr>
            <w:tcW w:w="73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100,00%</w:t>
            </w:r>
          </w:p>
        </w:tc>
        <w:tc>
          <w:tcPr>
            <w:tcW w:w="10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0,00%</w:t>
            </w:r>
          </w:p>
        </w:tc>
        <w:tc>
          <w:tcPr>
            <w:tcW w:w="58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0,00%</w:t>
            </w:r>
          </w:p>
        </w:tc>
        <w:tc>
          <w:tcPr>
            <w:tcW w:w="120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0,00%</w:t>
            </w:r>
          </w:p>
        </w:tc>
        <w:tc>
          <w:tcPr>
            <w:tcW w:w="78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0,00%</w:t>
            </w:r>
          </w:p>
        </w:tc>
        <w:tc>
          <w:tcPr>
            <w:tcW w:w="73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4B4281" w:rsidRDefault="0024197D">
            <w:pPr>
              <w:jc w:val="center"/>
              <w:rPr>
                <w:sz w:val="20"/>
                <w:szCs w:val="20"/>
              </w:rPr>
            </w:pPr>
            <w:r>
              <w:rPr>
                <w:sz w:val="20"/>
                <w:szCs w:val="20"/>
              </w:rPr>
              <w:t>100,00%</w:t>
            </w:r>
          </w:p>
        </w:tc>
      </w:tr>
    </w:tbl>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4B4281">
      <w:pPr>
        <w:pBdr>
          <w:top w:val="nil"/>
          <w:left w:val="nil"/>
          <w:bottom w:val="nil"/>
          <w:right w:val="nil"/>
          <w:between w:val="nil"/>
        </w:pBdr>
        <w:jc w:val="center"/>
        <w:rPr>
          <w:color w:val="000000"/>
          <w:sz w:val="18"/>
          <w:szCs w:val="18"/>
        </w:rPr>
      </w:pPr>
    </w:p>
    <w:p w:rsidR="004B4281" w:rsidRDefault="0024197D">
      <w:r>
        <w:t>A partir de lo mencionado anteriormente, se procede a desglosar la participación por tipo de energético en el uso final de fuerza motriz, de lo cual se destaca que en fuerza motriz el 9</w:t>
      </w:r>
      <w:r w:rsidR="005673B8">
        <w:t>8,15</w:t>
      </w:r>
      <w:r>
        <w:t xml:space="preserve"> % corresponde a ACPM, el </w:t>
      </w:r>
      <w:r w:rsidR="005673B8">
        <w:t>1,28</w:t>
      </w:r>
      <w:r>
        <w:t xml:space="preserve">% a energía eléctrica y el </w:t>
      </w:r>
      <w:r w:rsidR="005673B8">
        <w:t>0,57</w:t>
      </w:r>
      <w:r>
        <w:t>% a gasolina.</w:t>
      </w:r>
    </w:p>
    <w:p w:rsidR="004B4281" w:rsidRDefault="004B4281">
      <w:pPr>
        <w:pBdr>
          <w:top w:val="nil"/>
          <w:left w:val="nil"/>
          <w:bottom w:val="nil"/>
          <w:right w:val="nil"/>
          <w:between w:val="nil"/>
        </w:pBdr>
        <w:jc w:val="center"/>
        <w:rPr>
          <w:color w:val="000000"/>
          <w:sz w:val="18"/>
          <w:szCs w:val="18"/>
        </w:rPr>
      </w:pPr>
    </w:p>
    <w:p w:rsidR="004B4281" w:rsidRDefault="0024197D">
      <w:pPr>
        <w:pBdr>
          <w:top w:val="nil"/>
          <w:left w:val="nil"/>
          <w:bottom w:val="nil"/>
          <w:right w:val="nil"/>
          <w:between w:val="nil"/>
        </w:pBdr>
        <w:jc w:val="center"/>
      </w:pPr>
      <w:r>
        <w:rPr>
          <w:b/>
        </w:rPr>
        <w:t xml:space="preserve">Tabla 7.  </w:t>
      </w:r>
      <w:r>
        <w:t>Porcentajes de energéticos por uso final de energía</w:t>
      </w:r>
    </w:p>
    <w:tbl>
      <w:tblPr>
        <w:tblStyle w:val="a5"/>
        <w:tblW w:w="5040" w:type="dxa"/>
        <w:tblInd w:w="2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75"/>
        <w:gridCol w:w="1155"/>
        <w:gridCol w:w="1155"/>
        <w:gridCol w:w="1155"/>
      </w:tblGrid>
      <w:tr w:rsidR="004B4281">
        <w:trPr>
          <w:trHeight w:val="354"/>
        </w:trPr>
        <w:tc>
          <w:tcPr>
            <w:tcW w:w="1575" w:type="dxa"/>
            <w:shd w:val="clear" w:color="auto" w:fill="25A18E"/>
            <w:vAlign w:val="center"/>
          </w:tcPr>
          <w:p w:rsidR="004B4281" w:rsidRDefault="0024197D">
            <w:pPr>
              <w:jc w:val="center"/>
              <w:rPr>
                <w:b/>
                <w:color w:val="000000"/>
                <w:sz w:val="20"/>
                <w:szCs w:val="20"/>
              </w:rPr>
            </w:pPr>
            <w:r>
              <w:rPr>
                <w:b/>
                <w:color w:val="000000"/>
                <w:sz w:val="20"/>
                <w:szCs w:val="20"/>
              </w:rPr>
              <w:t>Uso final de energía</w:t>
            </w:r>
          </w:p>
        </w:tc>
        <w:tc>
          <w:tcPr>
            <w:tcW w:w="1155" w:type="dxa"/>
            <w:shd w:val="clear" w:color="auto" w:fill="25A18E"/>
            <w:vAlign w:val="center"/>
          </w:tcPr>
          <w:p w:rsidR="004B4281" w:rsidRDefault="0024197D">
            <w:pPr>
              <w:jc w:val="center"/>
              <w:rPr>
                <w:b/>
                <w:color w:val="000000"/>
                <w:sz w:val="20"/>
                <w:szCs w:val="20"/>
              </w:rPr>
            </w:pPr>
            <w:r>
              <w:rPr>
                <w:b/>
                <w:color w:val="000000"/>
                <w:sz w:val="20"/>
                <w:szCs w:val="20"/>
              </w:rPr>
              <w:t>ACPM</w:t>
            </w:r>
          </w:p>
        </w:tc>
        <w:tc>
          <w:tcPr>
            <w:tcW w:w="1155" w:type="dxa"/>
            <w:shd w:val="clear" w:color="auto" w:fill="25A18E"/>
            <w:vAlign w:val="center"/>
          </w:tcPr>
          <w:p w:rsidR="004B4281" w:rsidRDefault="0024197D">
            <w:pPr>
              <w:rPr>
                <w:b/>
                <w:color w:val="000000"/>
                <w:sz w:val="20"/>
                <w:szCs w:val="20"/>
              </w:rPr>
            </w:pPr>
            <w:r>
              <w:rPr>
                <w:b/>
                <w:color w:val="000000"/>
                <w:sz w:val="20"/>
                <w:szCs w:val="20"/>
              </w:rPr>
              <w:t>Energía eléctrica</w:t>
            </w:r>
          </w:p>
        </w:tc>
        <w:tc>
          <w:tcPr>
            <w:tcW w:w="1155" w:type="dxa"/>
            <w:shd w:val="clear" w:color="auto" w:fill="25A18E"/>
            <w:vAlign w:val="center"/>
          </w:tcPr>
          <w:p w:rsidR="004B4281" w:rsidRDefault="0024197D">
            <w:pPr>
              <w:rPr>
                <w:b/>
                <w:color w:val="000000"/>
                <w:sz w:val="20"/>
                <w:szCs w:val="20"/>
              </w:rPr>
            </w:pPr>
            <w:r>
              <w:rPr>
                <w:b/>
                <w:color w:val="000000"/>
                <w:sz w:val="20"/>
                <w:szCs w:val="20"/>
              </w:rPr>
              <w:t>Gasolina</w:t>
            </w:r>
          </w:p>
        </w:tc>
      </w:tr>
      <w:tr w:rsidR="004B4281">
        <w:trPr>
          <w:trHeight w:val="300"/>
        </w:trPr>
        <w:tc>
          <w:tcPr>
            <w:tcW w:w="1575" w:type="dxa"/>
            <w:shd w:val="clear" w:color="auto" w:fill="auto"/>
            <w:vAlign w:val="center"/>
          </w:tcPr>
          <w:p w:rsidR="004B4281" w:rsidRDefault="0024197D">
            <w:pPr>
              <w:jc w:val="center"/>
              <w:rPr>
                <w:color w:val="000000"/>
                <w:sz w:val="20"/>
                <w:szCs w:val="20"/>
              </w:rPr>
            </w:pPr>
            <w:r>
              <w:rPr>
                <w:color w:val="000000"/>
                <w:sz w:val="20"/>
                <w:szCs w:val="20"/>
              </w:rPr>
              <w:t>Fuerza motriz</w:t>
            </w:r>
          </w:p>
        </w:tc>
        <w:tc>
          <w:tcPr>
            <w:tcW w:w="1155" w:type="dxa"/>
            <w:shd w:val="clear" w:color="auto" w:fill="auto"/>
            <w:vAlign w:val="center"/>
          </w:tcPr>
          <w:p w:rsidR="004B4281" w:rsidRDefault="0024197D">
            <w:pPr>
              <w:jc w:val="center"/>
              <w:rPr>
                <w:color w:val="000000"/>
                <w:sz w:val="20"/>
                <w:szCs w:val="20"/>
              </w:rPr>
            </w:pPr>
            <w:r>
              <w:rPr>
                <w:color w:val="000000"/>
                <w:sz w:val="20"/>
                <w:szCs w:val="20"/>
              </w:rPr>
              <w:t>9</w:t>
            </w:r>
            <w:r w:rsidR="005673B8">
              <w:rPr>
                <w:color w:val="000000"/>
                <w:sz w:val="20"/>
                <w:szCs w:val="20"/>
              </w:rPr>
              <w:t>8,15</w:t>
            </w:r>
            <w:r>
              <w:rPr>
                <w:color w:val="000000"/>
                <w:sz w:val="20"/>
                <w:szCs w:val="20"/>
              </w:rPr>
              <w:t>%</w:t>
            </w:r>
          </w:p>
        </w:tc>
        <w:tc>
          <w:tcPr>
            <w:tcW w:w="1155" w:type="dxa"/>
            <w:vAlign w:val="center"/>
          </w:tcPr>
          <w:p w:rsidR="004B4281" w:rsidRDefault="005673B8">
            <w:pPr>
              <w:jc w:val="center"/>
              <w:rPr>
                <w:color w:val="000000"/>
                <w:sz w:val="20"/>
                <w:szCs w:val="20"/>
              </w:rPr>
            </w:pPr>
            <w:r>
              <w:rPr>
                <w:color w:val="000000"/>
                <w:sz w:val="20"/>
                <w:szCs w:val="20"/>
              </w:rPr>
              <w:t>1,28</w:t>
            </w:r>
            <w:r w:rsidR="0024197D">
              <w:rPr>
                <w:color w:val="000000"/>
                <w:sz w:val="20"/>
                <w:szCs w:val="20"/>
              </w:rPr>
              <w:t>%</w:t>
            </w:r>
          </w:p>
        </w:tc>
        <w:tc>
          <w:tcPr>
            <w:tcW w:w="1155" w:type="dxa"/>
            <w:vAlign w:val="center"/>
          </w:tcPr>
          <w:p w:rsidR="004B4281" w:rsidRDefault="0024197D">
            <w:pPr>
              <w:jc w:val="center"/>
              <w:rPr>
                <w:sz w:val="20"/>
                <w:szCs w:val="20"/>
              </w:rPr>
            </w:pPr>
            <w:r>
              <w:rPr>
                <w:color w:val="000000"/>
                <w:sz w:val="20"/>
                <w:szCs w:val="20"/>
              </w:rPr>
              <w:t>0,</w:t>
            </w:r>
            <w:r w:rsidR="005673B8">
              <w:rPr>
                <w:color w:val="000000"/>
                <w:sz w:val="20"/>
                <w:szCs w:val="20"/>
              </w:rPr>
              <w:t>57</w:t>
            </w:r>
            <w:r>
              <w:rPr>
                <w:color w:val="000000"/>
                <w:sz w:val="20"/>
                <w:szCs w:val="20"/>
              </w:rPr>
              <w:t>%</w:t>
            </w:r>
          </w:p>
        </w:tc>
      </w:tr>
    </w:tbl>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4B4281">
      <w:pPr>
        <w:pBdr>
          <w:top w:val="nil"/>
          <w:left w:val="nil"/>
          <w:bottom w:val="nil"/>
          <w:right w:val="nil"/>
          <w:between w:val="nil"/>
        </w:pBdr>
        <w:jc w:val="center"/>
        <w:rPr>
          <w:color w:val="000000"/>
          <w:sz w:val="18"/>
          <w:szCs w:val="18"/>
        </w:rPr>
      </w:pPr>
    </w:p>
    <w:p w:rsidR="004B4281" w:rsidRDefault="0024197D">
      <w:pPr>
        <w:rPr>
          <w:i/>
        </w:rPr>
      </w:pPr>
      <w:r>
        <w:t>Ahora bien, con respecto a los indicadores por energéticos, estos se extrapolaron utilizando el total de área cosechada de Caña de azúcar a nivel nacional, de esta manera, se obtiene el resultado que indica que el 98,1</w:t>
      </w:r>
      <w:r w:rsidR="00424C86">
        <w:t>5</w:t>
      </w:r>
      <w:r>
        <w:t>% del consumo de energéticos corresponde a ACPM, seguido por un 0,57% proveniente de la gasolina y 1,2</w:t>
      </w:r>
      <w:r w:rsidR="00424C86">
        <w:t>8</w:t>
      </w:r>
      <w:r>
        <w:t>% de energía eléctrica.</w:t>
      </w:r>
    </w:p>
    <w:p w:rsidR="004B4281" w:rsidRDefault="004B4281">
      <w:pPr>
        <w:pBdr>
          <w:top w:val="nil"/>
          <w:left w:val="nil"/>
          <w:bottom w:val="nil"/>
          <w:right w:val="nil"/>
          <w:between w:val="nil"/>
        </w:pBdr>
        <w:rPr>
          <w:i/>
          <w:color w:val="44546A"/>
          <w:sz w:val="18"/>
          <w:szCs w:val="18"/>
        </w:rPr>
      </w:pPr>
    </w:p>
    <w:p w:rsidR="004B4281" w:rsidRDefault="0024197D">
      <w:pPr>
        <w:pBdr>
          <w:top w:val="nil"/>
          <w:left w:val="nil"/>
          <w:bottom w:val="nil"/>
          <w:right w:val="nil"/>
          <w:between w:val="nil"/>
        </w:pBdr>
        <w:jc w:val="center"/>
      </w:pPr>
      <w:r>
        <w:rPr>
          <w:b/>
        </w:rPr>
        <w:t xml:space="preserve">Tabla 8.  </w:t>
      </w:r>
      <w:r>
        <w:t>Porcentaje de participación por energético</w:t>
      </w:r>
    </w:p>
    <w:tbl>
      <w:tblPr>
        <w:tblStyle w:val="a6"/>
        <w:tblW w:w="3765" w:type="dxa"/>
        <w:tblInd w:w="2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100"/>
        <w:gridCol w:w="1665"/>
      </w:tblGrid>
      <w:tr w:rsidR="004B4281">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sz w:val="20"/>
                <w:szCs w:val="20"/>
              </w:rPr>
              <w:t>Participación</w:t>
            </w:r>
          </w:p>
        </w:tc>
      </w:tr>
      <w:tr w:rsidR="004B4281">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color w:val="000000"/>
                <w:sz w:val="20"/>
                <w:szCs w:val="20"/>
              </w:rPr>
              <w:t>1,2</w:t>
            </w:r>
            <w:r w:rsidR="00424C86">
              <w:rPr>
                <w:color w:val="000000"/>
                <w:sz w:val="20"/>
                <w:szCs w:val="20"/>
              </w:rPr>
              <w:t>8</w:t>
            </w:r>
            <w:r>
              <w:rPr>
                <w:color w:val="000000"/>
                <w:sz w:val="20"/>
                <w:szCs w:val="20"/>
              </w:rPr>
              <w:t>%</w:t>
            </w:r>
          </w:p>
        </w:tc>
      </w:tr>
      <w:tr w:rsidR="004B4281">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color w:val="000000"/>
                <w:sz w:val="20"/>
                <w:szCs w:val="20"/>
              </w:rPr>
              <w:t>98,1</w:t>
            </w:r>
            <w:r w:rsidR="00424C86">
              <w:rPr>
                <w:color w:val="000000"/>
                <w:sz w:val="20"/>
                <w:szCs w:val="20"/>
              </w:rPr>
              <w:t>5</w:t>
            </w:r>
            <w:r>
              <w:rPr>
                <w:color w:val="000000"/>
                <w:sz w:val="20"/>
                <w:szCs w:val="20"/>
              </w:rPr>
              <w:t>%</w:t>
            </w:r>
          </w:p>
        </w:tc>
      </w:tr>
      <w:tr w:rsidR="004B4281">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color w:val="000000"/>
                <w:sz w:val="20"/>
                <w:szCs w:val="20"/>
              </w:rPr>
              <w:t>0,57%</w:t>
            </w:r>
          </w:p>
        </w:tc>
      </w:tr>
      <w:tr w:rsidR="004B4281">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GLP</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sz w:val="20"/>
                <w:szCs w:val="20"/>
              </w:rPr>
              <w:t>0.00%</w:t>
            </w:r>
          </w:p>
        </w:tc>
      </w:tr>
      <w:tr w:rsidR="004B4281">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Gas Natural</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sz w:val="20"/>
                <w:szCs w:val="20"/>
              </w:rPr>
              <w:t>0.00%</w:t>
            </w:r>
          </w:p>
        </w:tc>
      </w:tr>
      <w:tr w:rsidR="004B4281">
        <w:trPr>
          <w:trHeight w:val="109"/>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b/>
                <w:sz w:val="20"/>
                <w:szCs w:val="20"/>
              </w:rPr>
            </w:pPr>
            <w:r>
              <w:rPr>
                <w:b/>
                <w:sz w:val="20"/>
                <w:szCs w:val="20"/>
              </w:rPr>
              <w:t xml:space="preserve">Total </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4B4281" w:rsidRDefault="0024197D">
            <w:pPr>
              <w:jc w:val="center"/>
              <w:rPr>
                <w:b/>
                <w:sz w:val="20"/>
                <w:szCs w:val="20"/>
              </w:rPr>
            </w:pPr>
            <w:r>
              <w:rPr>
                <w:b/>
                <w:sz w:val="20"/>
                <w:szCs w:val="20"/>
              </w:rPr>
              <w:t>100%</w:t>
            </w:r>
          </w:p>
        </w:tc>
      </w:tr>
    </w:tbl>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4B4281">
      <w:pPr>
        <w:pBdr>
          <w:top w:val="nil"/>
          <w:left w:val="nil"/>
          <w:bottom w:val="nil"/>
          <w:right w:val="nil"/>
          <w:between w:val="nil"/>
        </w:pBdr>
        <w:jc w:val="center"/>
        <w:rPr>
          <w:color w:val="000000"/>
          <w:sz w:val="18"/>
          <w:szCs w:val="18"/>
        </w:rPr>
      </w:pPr>
    </w:p>
    <w:p w:rsidR="004B4281" w:rsidRDefault="0024197D">
      <w:r>
        <w:t xml:space="preserve">Finalmente, los indicadores recopilados en el campo, que facilitaron la extrapolación de la información, se presentan a continuación en unidades de megajulios por hectárea (MJ/ha) o por tonelada (MJ/Tn). En este análisis, destaca la notable demanda de ACPM en la mayoría de los procesos. Es importante señalar que el dato de consumo nacional de gasolina se extrapoló usando </w:t>
      </w:r>
      <w:r>
        <w:lastRenderedPageBreak/>
        <w:t>de referencia el dato de energía eléctrica de la base de datos estadísticos del DANE del grupo homogéneo en estudio.</w:t>
      </w:r>
    </w:p>
    <w:p w:rsidR="004B4281" w:rsidRDefault="004B4281">
      <w:pPr>
        <w:pBdr>
          <w:top w:val="nil"/>
          <w:left w:val="nil"/>
          <w:bottom w:val="nil"/>
          <w:right w:val="nil"/>
          <w:between w:val="nil"/>
        </w:pBdr>
        <w:rPr>
          <w:i/>
          <w:color w:val="44546A"/>
          <w:sz w:val="18"/>
          <w:szCs w:val="18"/>
        </w:rPr>
      </w:pPr>
    </w:p>
    <w:p w:rsidR="004B4281" w:rsidRDefault="0024197D">
      <w:pPr>
        <w:pBdr>
          <w:top w:val="nil"/>
          <w:left w:val="nil"/>
          <w:bottom w:val="nil"/>
          <w:right w:val="nil"/>
          <w:between w:val="nil"/>
        </w:pBdr>
        <w:jc w:val="center"/>
      </w:pPr>
      <w:r>
        <w:rPr>
          <w:b/>
        </w:rPr>
        <w:t xml:space="preserve">Tabla 9.  </w:t>
      </w:r>
      <w:r>
        <w:t>Indicadores por proceso y área productiva</w:t>
      </w:r>
    </w:p>
    <w:tbl>
      <w:tblPr>
        <w:tblStyle w:val="a7"/>
        <w:tblW w:w="8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265"/>
        <w:gridCol w:w="1502"/>
        <w:gridCol w:w="1994"/>
        <w:gridCol w:w="1683"/>
        <w:gridCol w:w="1040"/>
      </w:tblGrid>
      <w:tr w:rsidR="004B4281">
        <w:trPr>
          <w:trHeight w:val="311"/>
        </w:trPr>
        <w:tc>
          <w:tcPr>
            <w:tcW w:w="22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sz w:val="20"/>
                <w:szCs w:val="20"/>
              </w:rPr>
              <w:t>Proceso</w:t>
            </w:r>
          </w:p>
        </w:tc>
        <w:tc>
          <w:tcPr>
            <w:tcW w:w="1502"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sz w:val="20"/>
                <w:szCs w:val="20"/>
              </w:rPr>
              <w:t>Energético</w:t>
            </w:r>
          </w:p>
        </w:tc>
        <w:tc>
          <w:tcPr>
            <w:tcW w:w="199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424C86">
            <w:pPr>
              <w:jc w:val="center"/>
              <w:rPr>
                <w:b/>
                <w:sz w:val="20"/>
                <w:szCs w:val="20"/>
              </w:rPr>
            </w:pPr>
            <w:r>
              <w:rPr>
                <w:b/>
                <w:sz w:val="20"/>
                <w:szCs w:val="20"/>
              </w:rPr>
              <w:t>Producto</w:t>
            </w:r>
          </w:p>
        </w:tc>
        <w:tc>
          <w:tcPr>
            <w:tcW w:w="1683" w:type="dxa"/>
            <w:tcBorders>
              <w:top w:val="single" w:sz="8" w:space="0" w:color="000000"/>
              <w:left w:val="single" w:sz="8" w:space="0" w:color="000000"/>
              <w:bottom w:val="single" w:sz="8" w:space="0" w:color="000000"/>
              <w:right w:val="single" w:sz="8" w:space="0" w:color="000000"/>
            </w:tcBorders>
            <w:shd w:val="clear" w:color="auto" w:fill="25A18E"/>
          </w:tcPr>
          <w:p w:rsidR="004B4281" w:rsidRDefault="0024197D">
            <w:pPr>
              <w:jc w:val="center"/>
              <w:rPr>
                <w:b/>
                <w:sz w:val="20"/>
                <w:szCs w:val="20"/>
              </w:rPr>
            </w:pPr>
            <w:r>
              <w:rPr>
                <w:b/>
                <w:sz w:val="20"/>
                <w:szCs w:val="20"/>
              </w:rPr>
              <w:t>Unidades indicador</w:t>
            </w:r>
          </w:p>
        </w:tc>
        <w:tc>
          <w:tcPr>
            <w:tcW w:w="104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sz w:val="20"/>
                <w:szCs w:val="20"/>
              </w:rPr>
              <w:t xml:space="preserve">Indicador </w:t>
            </w:r>
          </w:p>
        </w:tc>
      </w:tr>
      <w:tr w:rsidR="004B4281">
        <w:trPr>
          <w:trHeight w:val="215"/>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Cosecha</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Caña de azúcar</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MJ/Ton</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52.33</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Fertilización</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fertilizado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359.01</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Fumigación</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fumigado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color w:val="000000"/>
                <w:sz w:val="20"/>
                <w:szCs w:val="20"/>
              </w:rPr>
            </w:pPr>
            <w:r>
              <w:rPr>
                <w:sz w:val="20"/>
                <w:szCs w:val="20"/>
              </w:rPr>
              <w:t>182.33</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color w:val="000000"/>
                <w:sz w:val="20"/>
                <w:szCs w:val="20"/>
              </w:rPr>
            </w:pPr>
            <w:r>
              <w:rPr>
                <w:sz w:val="20"/>
                <w:szCs w:val="20"/>
              </w:rPr>
              <w:t>Fumigación</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color w:val="000000"/>
                <w:sz w:val="20"/>
                <w:szCs w:val="20"/>
              </w:rPr>
            </w:pPr>
            <w:r>
              <w:rPr>
                <w:sz w:val="20"/>
                <w:szCs w:val="20"/>
              </w:rPr>
              <w:t>Gasolina</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fumigado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58.99</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Mantenimiento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en mantenimiento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115.78</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Mantenimiento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subsolado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1,458.71</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Preparación del terreno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nivelado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727.14</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Preparación del terreno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rastrillado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555.20</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Preparación del terreno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descepado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926.12</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Preparación del terreno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surcado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281.89</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Preparación del terreno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encallado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159.09</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Preparación del terreno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subsolado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831.23</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Siembra</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sembrado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722.73</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Sistema de Riego y drenaje</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irrigado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3,340.39</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Sistema de Riego y drenaje</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Drenado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292.77</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Sistema de Riego y drenaje</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Energía Eléctrica</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irrigado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605.51</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Transporte interno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Caña de azúcar</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MJ/Ton</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6.67</w:t>
            </w:r>
          </w:p>
        </w:tc>
      </w:tr>
      <w:tr w:rsidR="004B4281">
        <w:trPr>
          <w:trHeight w:val="31"/>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Cultivo</w:t>
            </w:r>
          </w:p>
        </w:tc>
        <w:tc>
          <w:tcPr>
            <w:tcW w:w="150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9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Terreno con cultivo</w:t>
            </w:r>
          </w:p>
        </w:tc>
        <w:tc>
          <w:tcPr>
            <w:tcW w:w="1683" w:type="dxa"/>
            <w:tcBorders>
              <w:top w:val="single" w:sz="8" w:space="0" w:color="000000"/>
              <w:left w:val="single" w:sz="8" w:space="0" w:color="000000"/>
              <w:bottom w:val="single" w:sz="8" w:space="0" w:color="000000"/>
              <w:right w:val="single" w:sz="8" w:space="0" w:color="000000"/>
            </w:tcBorders>
            <w:vAlign w:val="bottom"/>
          </w:tcPr>
          <w:p w:rsidR="004B4281" w:rsidRDefault="0024197D">
            <w:pPr>
              <w:jc w:val="center"/>
              <w:rPr>
                <w:sz w:val="20"/>
                <w:szCs w:val="20"/>
              </w:rPr>
            </w:pPr>
            <w:r>
              <w:rPr>
                <w:sz w:val="20"/>
                <w:szCs w:val="20"/>
              </w:rPr>
              <w:t>MJ/Ha</w:t>
            </w:r>
          </w:p>
        </w:tc>
        <w:tc>
          <w:tcPr>
            <w:tcW w:w="1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225.68</w:t>
            </w:r>
          </w:p>
        </w:tc>
      </w:tr>
    </w:tbl>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4B4281">
      <w:pPr>
        <w:pBdr>
          <w:top w:val="nil"/>
          <w:left w:val="nil"/>
          <w:bottom w:val="nil"/>
          <w:right w:val="nil"/>
          <w:between w:val="nil"/>
        </w:pBdr>
        <w:jc w:val="center"/>
        <w:rPr>
          <w:color w:val="000000"/>
          <w:sz w:val="18"/>
          <w:szCs w:val="18"/>
        </w:rPr>
      </w:pPr>
    </w:p>
    <w:p w:rsidR="004B4281" w:rsidRDefault="0024197D">
      <w:r>
        <w:t xml:space="preserve">A partir de los indicadores por proceso, se calculó el indicador total por producto, en el sector del cultivo de Caña de azúcar, el indicador representa el consumo energético por tonelada de Caña de azúcar producido, así como el consumo de energía por hectárea producida. </w:t>
      </w:r>
    </w:p>
    <w:p w:rsidR="004B4281" w:rsidRDefault="004B4281">
      <w:pPr>
        <w:rPr>
          <w:highlight w:val="yellow"/>
        </w:rPr>
      </w:pPr>
    </w:p>
    <w:p w:rsidR="004B4281" w:rsidRDefault="0024197D">
      <w:r>
        <w:t>En ese sentido, se requiere 10.414 MJ de energía por cada hectárea de área productiva, y 88,11 MJ de energía por cada tonelada de Caña de azúcar producido.</w:t>
      </w:r>
    </w:p>
    <w:p w:rsidR="004B4281" w:rsidRDefault="004B4281"/>
    <w:p w:rsidR="004B4281" w:rsidRDefault="004B4281"/>
    <w:p w:rsidR="004B4281" w:rsidRPr="00875F13" w:rsidRDefault="0024197D" w:rsidP="00875F13">
      <w:pPr>
        <w:jc w:val="center"/>
      </w:pPr>
      <w:r>
        <w:rPr>
          <w:b/>
        </w:rPr>
        <w:t>Tabla 10.</w:t>
      </w:r>
      <w:r>
        <w:t xml:space="preserve"> Consolidados energéticos en MJ para el Cultivo de Caña de azúcar a nivel nacional</w:t>
      </w:r>
      <w:bookmarkStart w:id="5" w:name="_GoBack"/>
      <w:bookmarkEnd w:id="5"/>
    </w:p>
    <w:tbl>
      <w:tblPr>
        <w:tblStyle w:val="a8"/>
        <w:tblW w:w="45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495"/>
        <w:gridCol w:w="1347"/>
        <w:gridCol w:w="1683"/>
      </w:tblGrid>
      <w:tr w:rsidR="004B4281">
        <w:trPr>
          <w:trHeight w:val="295"/>
          <w:tblHeader/>
          <w:jc w:val="center"/>
        </w:trPr>
        <w:tc>
          <w:tcPr>
            <w:tcW w:w="149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sz w:val="20"/>
                <w:szCs w:val="20"/>
              </w:rPr>
              <w:t>Grupo Homogéneo</w:t>
            </w:r>
          </w:p>
        </w:tc>
        <w:tc>
          <w:tcPr>
            <w:tcW w:w="1347"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sz w:val="20"/>
                <w:szCs w:val="20"/>
              </w:rPr>
              <w:t>Indicador Área (MJ/Ha)</w:t>
            </w:r>
          </w:p>
        </w:tc>
        <w:tc>
          <w:tcPr>
            <w:tcW w:w="1683" w:type="dxa"/>
            <w:tcBorders>
              <w:top w:val="single" w:sz="8" w:space="0" w:color="000000"/>
              <w:left w:val="single" w:sz="8" w:space="0" w:color="000000"/>
              <w:bottom w:val="single" w:sz="8" w:space="0" w:color="000000"/>
              <w:right w:val="single" w:sz="8" w:space="0" w:color="000000"/>
            </w:tcBorders>
            <w:shd w:val="clear" w:color="auto" w:fill="25A18E"/>
          </w:tcPr>
          <w:p w:rsidR="004B4281" w:rsidRDefault="0024197D">
            <w:pPr>
              <w:jc w:val="center"/>
              <w:rPr>
                <w:b/>
                <w:sz w:val="20"/>
                <w:szCs w:val="20"/>
              </w:rPr>
            </w:pPr>
            <w:r>
              <w:rPr>
                <w:b/>
                <w:sz w:val="20"/>
                <w:szCs w:val="20"/>
              </w:rPr>
              <w:t>Indicador Producto (MJ/ton)</w:t>
            </w:r>
          </w:p>
        </w:tc>
      </w:tr>
      <w:tr w:rsidR="004B4281">
        <w:trPr>
          <w:trHeight w:val="45"/>
          <w:jc w:val="center"/>
        </w:trPr>
        <w:tc>
          <w:tcPr>
            <w:tcW w:w="14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sz w:val="20"/>
                <w:szCs w:val="20"/>
              </w:rPr>
              <w:t>Caña de azúcar</w:t>
            </w:r>
          </w:p>
        </w:tc>
        <w:tc>
          <w:tcPr>
            <w:tcW w:w="134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color w:val="000000"/>
                <w:sz w:val="20"/>
                <w:szCs w:val="20"/>
              </w:rPr>
              <w:t>10.414,03</w:t>
            </w:r>
          </w:p>
        </w:tc>
        <w:tc>
          <w:tcPr>
            <w:tcW w:w="1683" w:type="dxa"/>
            <w:tcBorders>
              <w:top w:val="single" w:sz="8" w:space="0" w:color="000000"/>
              <w:left w:val="single" w:sz="8" w:space="0" w:color="000000"/>
              <w:bottom w:val="single" w:sz="8" w:space="0" w:color="000000"/>
              <w:right w:val="single" w:sz="8" w:space="0" w:color="000000"/>
            </w:tcBorders>
            <w:vAlign w:val="center"/>
          </w:tcPr>
          <w:p w:rsidR="004B4281" w:rsidRDefault="0024197D">
            <w:pPr>
              <w:jc w:val="center"/>
              <w:rPr>
                <w:sz w:val="20"/>
                <w:szCs w:val="20"/>
              </w:rPr>
            </w:pPr>
            <w:r>
              <w:rPr>
                <w:color w:val="000000"/>
                <w:sz w:val="20"/>
                <w:szCs w:val="20"/>
              </w:rPr>
              <w:t>88,11</w:t>
            </w:r>
          </w:p>
        </w:tc>
      </w:tr>
    </w:tbl>
    <w:p w:rsidR="004B4281" w:rsidRDefault="0024197D" w:rsidP="00131FA4">
      <w:pPr>
        <w:jc w:val="center"/>
        <w:rPr>
          <w:sz w:val="18"/>
          <w:szCs w:val="18"/>
        </w:rPr>
      </w:pPr>
      <w:r>
        <w:rPr>
          <w:sz w:val="18"/>
          <w:szCs w:val="18"/>
        </w:rPr>
        <w:t>Fuente: elaboración propia</w:t>
      </w:r>
    </w:p>
    <w:p w:rsidR="004B4281" w:rsidRDefault="004B4281">
      <w:pPr>
        <w:pBdr>
          <w:top w:val="nil"/>
          <w:left w:val="nil"/>
          <w:bottom w:val="nil"/>
          <w:right w:val="nil"/>
          <w:between w:val="nil"/>
        </w:pBdr>
        <w:jc w:val="left"/>
        <w:rPr>
          <w:color w:val="000000"/>
        </w:rPr>
      </w:pPr>
    </w:p>
    <w:p w:rsidR="004B4281" w:rsidRDefault="0024197D">
      <w:pPr>
        <w:pBdr>
          <w:top w:val="nil"/>
          <w:left w:val="nil"/>
          <w:bottom w:val="nil"/>
          <w:right w:val="nil"/>
          <w:between w:val="nil"/>
        </w:pBdr>
        <w:rPr>
          <w:color w:val="000000"/>
        </w:rPr>
      </w:pPr>
      <w:r>
        <w:rPr>
          <w:color w:val="000000"/>
        </w:rPr>
        <w:t>Finalmente, a partir del indicador de gasolina, calculamos el consumo anual de ACPM, energía eléctrica y gasolina. En ese sentido, se requieren 15,91 TJ de gasolina anual, 2.7</w:t>
      </w:r>
      <w:r w:rsidR="00131FA4">
        <w:rPr>
          <w:color w:val="000000"/>
        </w:rPr>
        <w:t>41,45</w:t>
      </w:r>
      <w:r>
        <w:rPr>
          <w:color w:val="000000"/>
        </w:rPr>
        <w:t xml:space="preserve"> TJ de ACPM y 35,67 TJ de energía eléctrica anual para el cultivo de Caña de azúcar a nivel nacional. </w:t>
      </w:r>
    </w:p>
    <w:p w:rsidR="004B4281" w:rsidRDefault="004B4281" w:rsidP="00131FA4">
      <w:pPr>
        <w:pBdr>
          <w:top w:val="nil"/>
          <w:left w:val="nil"/>
          <w:bottom w:val="nil"/>
          <w:right w:val="nil"/>
          <w:between w:val="nil"/>
        </w:pBdr>
      </w:pPr>
    </w:p>
    <w:p w:rsidR="004B4281" w:rsidRDefault="0024197D">
      <w:pPr>
        <w:pBdr>
          <w:top w:val="nil"/>
          <w:left w:val="nil"/>
          <w:bottom w:val="nil"/>
          <w:right w:val="nil"/>
          <w:between w:val="nil"/>
        </w:pBdr>
        <w:jc w:val="center"/>
      </w:pPr>
      <w:r>
        <w:rPr>
          <w:b/>
        </w:rPr>
        <w:t>Tabla 11</w:t>
      </w:r>
      <w:r>
        <w:t>. Consolidados energéticos en TJ para el Cultivo de Caña de azúcar a nivel nacional</w:t>
      </w:r>
    </w:p>
    <w:tbl>
      <w:tblPr>
        <w:tblStyle w:val="a9"/>
        <w:tblW w:w="3765" w:type="dxa"/>
        <w:tblInd w:w="2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100"/>
        <w:gridCol w:w="1665"/>
      </w:tblGrid>
      <w:tr w:rsidR="004B4281">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20"/>
                <w:szCs w:val="20"/>
              </w:rPr>
            </w:pPr>
            <w:r>
              <w:rPr>
                <w:b/>
                <w:color w:val="000000"/>
                <w:sz w:val="20"/>
                <w:szCs w:val="20"/>
              </w:rPr>
              <w:t>TJ/año</w:t>
            </w:r>
          </w:p>
        </w:tc>
      </w:tr>
      <w:tr w:rsidR="004B4281">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color w:val="000000"/>
                <w:sz w:val="20"/>
                <w:szCs w:val="20"/>
              </w:rPr>
              <w:t>35,67</w:t>
            </w:r>
          </w:p>
        </w:tc>
      </w:tr>
      <w:tr w:rsidR="004B4281">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ACPM</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color w:val="000000"/>
                <w:sz w:val="20"/>
                <w:szCs w:val="20"/>
              </w:rPr>
              <w:t>2.7</w:t>
            </w:r>
            <w:r w:rsidR="00131FA4">
              <w:rPr>
                <w:color w:val="000000"/>
                <w:sz w:val="20"/>
                <w:szCs w:val="20"/>
              </w:rPr>
              <w:t>41,45</w:t>
            </w:r>
          </w:p>
        </w:tc>
      </w:tr>
      <w:tr w:rsidR="004B4281">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color w:val="000000"/>
                <w:sz w:val="20"/>
                <w:szCs w:val="20"/>
              </w:rPr>
              <w:t>15,91</w:t>
            </w:r>
          </w:p>
        </w:tc>
      </w:tr>
      <w:tr w:rsidR="004B4281">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GLP</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sz w:val="20"/>
                <w:szCs w:val="20"/>
              </w:rPr>
              <w:t>0.00</w:t>
            </w:r>
          </w:p>
        </w:tc>
      </w:tr>
      <w:tr w:rsidR="004B4281">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rsidR="004B4281" w:rsidRDefault="0024197D">
            <w:pPr>
              <w:jc w:val="center"/>
              <w:rPr>
                <w:sz w:val="20"/>
                <w:szCs w:val="20"/>
              </w:rPr>
            </w:pPr>
            <w:r>
              <w:rPr>
                <w:sz w:val="20"/>
                <w:szCs w:val="20"/>
              </w:rPr>
              <w:t>Gas Natural</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20"/>
                <w:szCs w:val="20"/>
              </w:rPr>
            </w:pPr>
            <w:r>
              <w:rPr>
                <w:sz w:val="20"/>
                <w:szCs w:val="20"/>
              </w:rPr>
              <w:t>0.00</w:t>
            </w:r>
          </w:p>
        </w:tc>
      </w:tr>
    </w:tbl>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24197D">
      <w:pPr>
        <w:pStyle w:val="Heading1"/>
        <w:numPr>
          <w:ilvl w:val="0"/>
          <w:numId w:val="4"/>
        </w:numPr>
      </w:pPr>
      <w:bookmarkStart w:id="6" w:name="_heading=h.1t3h5sf" w:colFirst="0" w:colLast="0"/>
      <w:bookmarkEnd w:id="6"/>
      <w:r>
        <w:lastRenderedPageBreak/>
        <w:t>Recomendaciones</w:t>
      </w:r>
    </w:p>
    <w:p w:rsidR="004B4281" w:rsidRDefault="004B4281"/>
    <w:p w:rsidR="004B4281" w:rsidRDefault="0024197D">
      <w:r>
        <w:t xml:space="preserve">Durante las visitas y reuniones con los Ingenios, </w:t>
      </w:r>
      <w:proofErr w:type="spellStart"/>
      <w:r>
        <w:t>Cenicaña</w:t>
      </w:r>
      <w:proofErr w:type="spellEnd"/>
      <w:r>
        <w:t xml:space="preserve"> y Asocaña, se identificaron iniciativas importantes relacionadas con la gestión eficiente de la energía. En primer lugar, la mayoría de los ingenios cuenta con información relacionada con los consumos de energía y eléctrica y combustibles destinadas para los procesos de producción primaria. Esto es un gran diferencial respecto a los otros sectores que no cuentan con un registro centralizado de la información energética y por ende es más difícil implementar medidas de eficiencia energética.</w:t>
      </w:r>
    </w:p>
    <w:p w:rsidR="004B4281" w:rsidRDefault="004B4281"/>
    <w:p w:rsidR="004B4281" w:rsidRDefault="0024197D">
      <w:r>
        <w:t xml:space="preserve">Por otro lado, algunos ingenios cuentan con sistemas de cogeneración de energía y producción de biogás a partir del bagazo de caña que sobra del proceso de </w:t>
      </w:r>
      <w:proofErr w:type="spellStart"/>
      <w:r>
        <w:t>beneficiamiento</w:t>
      </w:r>
      <w:proofErr w:type="spellEnd"/>
      <w:r>
        <w:t xml:space="preserve">. En algunos casos, como el del ingenio </w:t>
      </w:r>
      <w:proofErr w:type="spellStart"/>
      <w:r>
        <w:t>Mayaguez</w:t>
      </w:r>
      <w:proofErr w:type="spellEnd"/>
      <w:r>
        <w:t xml:space="preserve">, cuentan con camionetas eléctricas para transporte de personal y una flota de 9 </w:t>
      </w:r>
      <w:proofErr w:type="spellStart"/>
      <w:r>
        <w:t>tractomulas</w:t>
      </w:r>
      <w:proofErr w:type="spellEnd"/>
      <w:r>
        <w:t xml:space="preserve"> eléctricas. </w:t>
      </w:r>
    </w:p>
    <w:p w:rsidR="004B4281" w:rsidRDefault="004B4281"/>
    <w:p w:rsidR="004B4281" w:rsidRDefault="0024197D">
      <w:r>
        <w:t>En la Tabla 12 se presentan recomendaciones para mejorar la eficiencia energética del proceso productivo del Caña de azúcar basados en la información primaria y secundaria recolectada.</w:t>
      </w:r>
    </w:p>
    <w:p w:rsidR="004B4281" w:rsidRDefault="004B4281"/>
    <w:p w:rsidR="004B4281" w:rsidRDefault="0024197D">
      <w:pPr>
        <w:pBdr>
          <w:top w:val="nil"/>
          <w:left w:val="nil"/>
          <w:bottom w:val="nil"/>
          <w:right w:val="nil"/>
          <w:between w:val="nil"/>
        </w:pBdr>
        <w:jc w:val="center"/>
      </w:pPr>
      <w:r>
        <w:rPr>
          <w:b/>
        </w:rPr>
        <w:t>Tabla 12.</w:t>
      </w:r>
      <w:r>
        <w:t xml:space="preserve">  Tecnologías limpias y buenas prácticas</w:t>
      </w:r>
    </w:p>
    <w:tbl>
      <w:tblPr>
        <w:tblStyle w:val="aa"/>
        <w:tblW w:w="8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736"/>
        <w:gridCol w:w="3309"/>
        <w:gridCol w:w="3439"/>
      </w:tblGrid>
      <w:tr w:rsidR="004B4281">
        <w:trPr>
          <w:trHeight w:val="20"/>
          <w:tblHeader/>
        </w:trPr>
        <w:tc>
          <w:tcPr>
            <w:tcW w:w="1736"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18"/>
                <w:szCs w:val="18"/>
              </w:rPr>
            </w:pPr>
            <w:r>
              <w:rPr>
                <w:b/>
                <w:sz w:val="18"/>
                <w:szCs w:val="18"/>
              </w:rPr>
              <w:t>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18"/>
                <w:szCs w:val="18"/>
              </w:rPr>
            </w:pPr>
            <w:r>
              <w:rPr>
                <w:b/>
                <w:sz w:val="18"/>
                <w:szCs w:val="18"/>
              </w:rPr>
              <w:t>Descripción</w:t>
            </w:r>
          </w:p>
        </w:tc>
        <w:tc>
          <w:tcPr>
            <w:tcW w:w="343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4B4281" w:rsidRDefault="0024197D">
            <w:pPr>
              <w:jc w:val="center"/>
              <w:rPr>
                <w:b/>
                <w:sz w:val="18"/>
                <w:szCs w:val="18"/>
              </w:rPr>
            </w:pPr>
            <w:r>
              <w:rPr>
                <w:b/>
                <w:sz w:val="18"/>
                <w:szCs w:val="18"/>
              </w:rPr>
              <w:t>Beneficios</w:t>
            </w:r>
          </w:p>
        </w:tc>
      </w:tr>
      <w:tr w:rsidR="004B4281">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Cambio de 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Cambio de motores de ACPM y gasolina a motores de energía eléctrica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Reducción del uso de combustible fósil y emisiones de CO2</w:t>
            </w:r>
          </w:p>
        </w:tc>
      </w:tr>
      <w:tr w:rsidR="004B4281">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Bombeo Solar</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 xml:space="preserve">Implementación de la energía solar en el bombeo para el proceso del riego </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Reducción del uso de energía eléctrica, emisiones de CO2 e integración de energías renovables no convencionales</w:t>
            </w:r>
          </w:p>
        </w:tc>
      </w:tr>
      <w:tr w:rsidR="004B4281">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Renovación de equipos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Cambio de equipos con antigüedades superiores a los 8 años</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Mayor producción y menor consumo</w:t>
            </w:r>
          </w:p>
        </w:tc>
      </w:tr>
      <w:tr w:rsidR="004B4281">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Labranza de conservación</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Minimiza la alteración del suelo, manteniendo rastrojos y materia orgánica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Ayuda a retener nutrientes y humedad en el suelo</w:t>
            </w:r>
          </w:p>
        </w:tc>
      </w:tr>
      <w:tr w:rsidR="004B4281">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Nivelación láser de tierras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Nivela la superficie del campo para uniformizar la distribución de agua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Aumenta la eficiencia en el uso de agua y recursos (fertilizantes); ahorra combustible al eliminar canales y bordes</w:t>
            </w:r>
          </w:p>
        </w:tc>
      </w:tr>
      <w:tr w:rsidR="004B4281">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Sistemas de riego (Pivote, automatizados)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 xml:space="preserve">Equipos que alcanzan a abarcar hasta 800 Ha, de cobertura de riego, haciendo el proceso mucho más eficiente. </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4B4281" w:rsidRDefault="0024197D">
            <w:pPr>
              <w:jc w:val="center"/>
              <w:rPr>
                <w:sz w:val="18"/>
                <w:szCs w:val="18"/>
              </w:rPr>
            </w:pPr>
            <w:r>
              <w:rPr>
                <w:sz w:val="18"/>
                <w:szCs w:val="18"/>
              </w:rPr>
              <w:t>Optimiza la aplicación de fertilizantes, pesticidas, etc. solo donde se necesiten</w:t>
            </w:r>
          </w:p>
        </w:tc>
      </w:tr>
    </w:tbl>
    <w:p w:rsidR="004B4281" w:rsidRDefault="004B4281">
      <w:pPr>
        <w:pBdr>
          <w:top w:val="nil"/>
          <w:left w:val="nil"/>
          <w:bottom w:val="nil"/>
          <w:right w:val="nil"/>
          <w:between w:val="nil"/>
        </w:pBdr>
        <w:rPr>
          <w:color w:val="000000"/>
          <w:sz w:val="18"/>
          <w:szCs w:val="18"/>
        </w:rPr>
      </w:pPr>
    </w:p>
    <w:p w:rsidR="004B4281" w:rsidRDefault="0024197D">
      <w:pPr>
        <w:pBdr>
          <w:top w:val="nil"/>
          <w:left w:val="nil"/>
          <w:bottom w:val="nil"/>
          <w:right w:val="nil"/>
          <w:between w:val="nil"/>
        </w:pBdr>
        <w:jc w:val="center"/>
        <w:rPr>
          <w:color w:val="000000"/>
          <w:sz w:val="18"/>
          <w:szCs w:val="18"/>
        </w:rPr>
      </w:pPr>
      <w:r>
        <w:rPr>
          <w:color w:val="000000"/>
          <w:sz w:val="18"/>
          <w:szCs w:val="18"/>
        </w:rPr>
        <w:t>Fuente: elaboración propia</w:t>
      </w:r>
    </w:p>
    <w:p w:rsidR="004B4281" w:rsidRDefault="0024197D">
      <w:pPr>
        <w:pStyle w:val="Heading1"/>
        <w:numPr>
          <w:ilvl w:val="0"/>
          <w:numId w:val="4"/>
        </w:numPr>
      </w:pPr>
      <w:r>
        <w:t>Referencias</w:t>
      </w:r>
    </w:p>
    <w:p w:rsidR="004B4281" w:rsidRDefault="004B4281"/>
    <w:p w:rsidR="004B4281" w:rsidRDefault="0024197D">
      <w:proofErr w:type="spellStart"/>
      <w:r>
        <w:t>Agronet</w:t>
      </w:r>
      <w:proofErr w:type="spellEnd"/>
      <w:r>
        <w:t>. (2022 C.E.). Área, Producción y Rendimiento Nacional por Cultivo.</w:t>
      </w:r>
    </w:p>
    <w:p w:rsidR="004B4281" w:rsidRDefault="004B4281">
      <w:pPr>
        <w:ind w:left="720" w:hanging="480"/>
      </w:pPr>
    </w:p>
    <w:p w:rsidR="004B4281" w:rsidRDefault="0024197D">
      <w:r>
        <w:rPr>
          <w:color w:val="000000"/>
        </w:rPr>
        <w:t xml:space="preserve">Informe anual de sostenibilidad (2022-2023). </w:t>
      </w:r>
      <w:proofErr w:type="spellStart"/>
      <w:r>
        <w:rPr>
          <w:color w:val="000000"/>
        </w:rPr>
        <w:t>Cenicaña</w:t>
      </w:r>
      <w:proofErr w:type="spellEnd"/>
      <w:r>
        <w:rPr>
          <w:color w:val="000000"/>
        </w:rPr>
        <w:t xml:space="preserve"> (2023</w:t>
      </w:r>
    </w:p>
    <w:p w:rsidR="004B4281" w:rsidRDefault="004B4281">
      <w:pPr>
        <w:ind w:left="720" w:hanging="480"/>
      </w:pPr>
    </w:p>
    <w:p w:rsidR="004B4281" w:rsidRDefault="0024197D">
      <w:r>
        <w:t> </w:t>
      </w:r>
    </w:p>
    <w:sectPr w:rsidR="004B4281">
      <w:headerReference w:type="default" r:id="rId16"/>
      <w:footerReference w:type="default" r:id="rId17"/>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B62E4" w:rsidRDefault="00EB62E4">
      <w:r>
        <w:separator/>
      </w:r>
    </w:p>
  </w:endnote>
  <w:endnote w:type="continuationSeparator" w:id="0">
    <w:p w:rsidR="00EB62E4" w:rsidRDefault="00EB62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4197D" w:rsidRDefault="0024197D">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rsidR="0024197D" w:rsidRDefault="0024197D">
    <w:pPr>
      <w:pBdr>
        <w:top w:val="nil"/>
        <w:left w:val="nil"/>
        <w:bottom w:val="nil"/>
        <w:right w:val="nil"/>
        <w:between w:val="nil"/>
      </w:pBdr>
      <w:tabs>
        <w:tab w:val="center" w:pos="4252"/>
        <w:tab w:val="right" w:pos="8504"/>
      </w:tabs>
      <w:rPr>
        <w:color w:val="000000"/>
      </w:rPr>
    </w:pPr>
  </w:p>
  <w:p w:rsidR="0024197D" w:rsidRDefault="0024197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B62E4" w:rsidRDefault="00EB62E4">
      <w:r>
        <w:separator/>
      </w:r>
    </w:p>
  </w:footnote>
  <w:footnote w:type="continuationSeparator" w:id="0">
    <w:p w:rsidR="00EB62E4" w:rsidRDefault="00EB62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4197D" w:rsidRDefault="0024197D">
    <w:pPr>
      <w:pBdr>
        <w:top w:val="nil"/>
        <w:left w:val="nil"/>
        <w:bottom w:val="nil"/>
        <w:right w:val="nil"/>
        <w:between w:val="nil"/>
      </w:pBdr>
      <w:tabs>
        <w:tab w:val="center" w:pos="4252"/>
        <w:tab w:val="right" w:pos="8504"/>
      </w:tabs>
    </w:pPr>
    <w:r>
      <w:rPr>
        <w:sz w:val="28"/>
        <w:szCs w:val="28"/>
      </w:rPr>
      <w:t>Cultivo de caña de azúcar</w:t>
    </w:r>
    <w:r>
      <w:rPr>
        <w:noProof/>
      </w:rPr>
      <w:drawing>
        <wp:anchor distT="0" distB="0" distL="114300" distR="114300" simplePos="0" relativeHeight="251658240" behindDoc="0" locked="0" layoutInCell="1" hidden="0" allowOverlap="1">
          <wp:simplePos x="0" y="0"/>
          <wp:positionH relativeFrom="column">
            <wp:posOffset>3819525</wp:posOffset>
          </wp:positionH>
          <wp:positionV relativeFrom="paragraph">
            <wp:posOffset>-305433</wp:posOffset>
          </wp:positionV>
          <wp:extent cx="2169160" cy="555625"/>
          <wp:effectExtent l="0" t="0" r="0" b="0"/>
          <wp:wrapSquare wrapText="bothSides" distT="0" distB="0" distL="114300" distR="11430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F02A15"/>
    <w:multiLevelType w:val="multilevel"/>
    <w:tmpl w:val="53184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3D42312"/>
    <w:multiLevelType w:val="multilevel"/>
    <w:tmpl w:val="21785B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8482BFC"/>
    <w:multiLevelType w:val="multilevel"/>
    <w:tmpl w:val="4CC463FE"/>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abstractNum w:abstractNumId="3" w15:restartNumberingAfterBreak="0">
    <w:nsid w:val="64EA3F06"/>
    <w:multiLevelType w:val="multilevel"/>
    <w:tmpl w:val="37B440E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4281"/>
    <w:rsid w:val="00131FA4"/>
    <w:rsid w:val="0024197D"/>
    <w:rsid w:val="00424C86"/>
    <w:rsid w:val="004B4281"/>
    <w:rsid w:val="005673B8"/>
    <w:rsid w:val="00875F13"/>
    <w:rsid w:val="00C3500C"/>
    <w:rsid w:val="00CD5A50"/>
    <w:rsid w:val="00D107D3"/>
    <w:rsid w:val="00EB62E4"/>
    <w:rsid w:val="00F170A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4C06D9"/>
  <w15:docId w15:val="{640FE90F-4A7B-4513-BA78-D8792E78E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icxx9se0XDswKGjFuW3RXYVdlA==">CgMxLjAyCGguZ2pkZ3hzMgloLjMwajB6bGwyCWguM3pueXNoNzIJaC4yZXQ5MnAwMghoLnR5amN3dDIJaC4xdDNoNXNmOAByITEtU083cWVaSk8xQlBtR3JtWl9WX2QxRkNyd3NQWE50bg==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2592</Words>
  <Characters>14256</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Usuario</cp:lastModifiedBy>
  <cp:revision>2</cp:revision>
  <dcterms:created xsi:type="dcterms:W3CDTF">2024-01-24T00:13:00Z</dcterms:created>
  <dcterms:modified xsi:type="dcterms:W3CDTF">2024-01-24T00:13:00Z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