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069C7" w14:textId="77777777" w:rsidR="00CF6C56" w:rsidRDefault="00CF6C56">
      <w:pPr>
        <w:rPr>
          <w:rFonts w:ascii="Arial" w:eastAsia="Arial" w:hAnsi="Arial" w:cs="Arial"/>
          <w:sz w:val="22"/>
          <w:szCs w:val="22"/>
        </w:rPr>
      </w:pPr>
    </w:p>
    <w:p w14:paraId="3D3F72B5" w14:textId="77777777" w:rsidR="000F2058" w:rsidRDefault="000F2058">
      <w:pPr>
        <w:rPr>
          <w:rFonts w:ascii="Arial" w:eastAsia="Arial" w:hAnsi="Arial" w:cs="Arial"/>
          <w:sz w:val="22"/>
          <w:szCs w:val="22"/>
        </w:rPr>
      </w:pPr>
    </w:p>
    <w:p w14:paraId="637CD12F" w14:textId="77777777" w:rsidR="000F2058" w:rsidRDefault="000F2058">
      <w:pPr>
        <w:rPr>
          <w:rFonts w:ascii="Arial" w:eastAsia="Arial" w:hAnsi="Arial" w:cs="Arial"/>
          <w:sz w:val="22"/>
          <w:szCs w:val="22"/>
        </w:rPr>
      </w:pPr>
    </w:p>
    <w:p w14:paraId="36E9E984" w14:textId="5CD346C0" w:rsidR="000F2058" w:rsidRPr="000F2058" w:rsidRDefault="000F2058" w:rsidP="000F2058">
      <w:pPr>
        <w:jc w:val="center"/>
        <w:rPr>
          <w:rFonts w:ascii="Arial" w:hAnsi="Arial" w:cs="Arial"/>
          <w:b/>
          <w:bCs/>
          <w:sz w:val="22"/>
          <w:szCs w:val="22"/>
        </w:rPr>
      </w:pPr>
      <w:r w:rsidRPr="000F2058">
        <w:rPr>
          <w:rFonts w:ascii="Arial" w:hAnsi="Arial" w:cs="Arial"/>
          <w:b/>
          <w:bCs/>
          <w:sz w:val="22"/>
          <w:szCs w:val="22"/>
        </w:rPr>
        <w:t>REPÚBLICA DE COLOMBIA</w:t>
      </w:r>
    </w:p>
    <w:p w14:paraId="747BC133" w14:textId="77777777" w:rsidR="000F2058" w:rsidRPr="000F2058" w:rsidRDefault="000F2058" w:rsidP="000F2058">
      <w:pPr>
        <w:jc w:val="center"/>
        <w:rPr>
          <w:rFonts w:ascii="Arial" w:hAnsi="Arial" w:cs="Arial"/>
          <w:b/>
          <w:bCs/>
          <w:sz w:val="22"/>
          <w:szCs w:val="22"/>
        </w:rPr>
      </w:pPr>
    </w:p>
    <w:p w14:paraId="17EACB8B" w14:textId="46B04CB6" w:rsidR="000F2058" w:rsidRPr="000F2058" w:rsidRDefault="000F2058" w:rsidP="000F2058">
      <w:pPr>
        <w:jc w:val="center"/>
        <w:rPr>
          <w:rFonts w:ascii="Arial" w:eastAsia="Arial" w:hAnsi="Arial" w:cs="Arial"/>
          <w:b/>
          <w:bCs/>
          <w:sz w:val="22"/>
          <w:szCs w:val="22"/>
        </w:rPr>
      </w:pPr>
      <w:r w:rsidRPr="000F2058">
        <w:rPr>
          <w:rFonts w:ascii="Arial" w:hAnsi="Arial" w:cs="Arial"/>
          <w:b/>
          <w:bCs/>
          <w:sz w:val="22"/>
          <w:szCs w:val="22"/>
        </w:rPr>
        <w:t>Ministerio de Minas y Energía</w:t>
      </w:r>
    </w:p>
    <w:p w14:paraId="07CD2BAA" w14:textId="77777777" w:rsidR="000F2058" w:rsidRPr="000F2058" w:rsidRDefault="000F2058" w:rsidP="000F2058">
      <w:pPr>
        <w:jc w:val="center"/>
        <w:rPr>
          <w:rFonts w:ascii="Arial" w:eastAsia="Arial" w:hAnsi="Arial" w:cs="Arial"/>
          <w:b/>
          <w:bCs/>
          <w:sz w:val="22"/>
          <w:szCs w:val="22"/>
        </w:rPr>
      </w:pPr>
    </w:p>
    <w:p w14:paraId="4EB77FA5" w14:textId="77777777" w:rsidR="000F2058" w:rsidRPr="000F2058" w:rsidRDefault="000F2058" w:rsidP="000F2058">
      <w:pPr>
        <w:jc w:val="center"/>
        <w:rPr>
          <w:rFonts w:ascii="Arial" w:eastAsia="Arial" w:hAnsi="Arial" w:cs="Arial"/>
          <w:b/>
          <w:bCs/>
          <w:sz w:val="22"/>
          <w:szCs w:val="22"/>
        </w:rPr>
      </w:pPr>
    </w:p>
    <w:p w14:paraId="12033925" w14:textId="77777777" w:rsidR="000F2058" w:rsidRPr="000F2058" w:rsidRDefault="000F2058" w:rsidP="000F2058">
      <w:pPr>
        <w:jc w:val="center"/>
        <w:rPr>
          <w:rFonts w:ascii="Arial" w:eastAsia="Arial" w:hAnsi="Arial" w:cs="Arial"/>
          <w:b/>
          <w:bCs/>
          <w:sz w:val="22"/>
          <w:szCs w:val="22"/>
        </w:rPr>
      </w:pPr>
    </w:p>
    <w:p w14:paraId="325C5326" w14:textId="77777777" w:rsidR="000F2058" w:rsidRPr="000F2058" w:rsidRDefault="000F2058" w:rsidP="000F2058">
      <w:pPr>
        <w:jc w:val="center"/>
        <w:rPr>
          <w:rFonts w:ascii="Arial" w:eastAsia="Arial" w:hAnsi="Arial" w:cs="Arial"/>
          <w:b/>
          <w:bCs/>
          <w:sz w:val="22"/>
          <w:szCs w:val="22"/>
        </w:rPr>
      </w:pPr>
    </w:p>
    <w:p w14:paraId="4FCA1253" w14:textId="77777777" w:rsidR="000F2058" w:rsidRPr="000F2058" w:rsidRDefault="000F2058" w:rsidP="000F2058">
      <w:pPr>
        <w:jc w:val="center"/>
        <w:rPr>
          <w:rFonts w:ascii="Arial" w:eastAsia="Arial" w:hAnsi="Arial" w:cs="Arial"/>
          <w:b/>
          <w:bCs/>
          <w:sz w:val="22"/>
          <w:szCs w:val="22"/>
        </w:rPr>
      </w:pPr>
    </w:p>
    <w:p w14:paraId="02FB9668" w14:textId="77777777" w:rsidR="000F2058" w:rsidRPr="000F2058" w:rsidRDefault="000F2058" w:rsidP="000F2058">
      <w:pPr>
        <w:jc w:val="center"/>
        <w:rPr>
          <w:rFonts w:ascii="Arial" w:eastAsia="Arial" w:hAnsi="Arial" w:cs="Arial"/>
          <w:b/>
          <w:bCs/>
          <w:sz w:val="22"/>
          <w:szCs w:val="22"/>
        </w:rPr>
      </w:pPr>
    </w:p>
    <w:p w14:paraId="28938878" w14:textId="77777777" w:rsidR="000F2058" w:rsidRPr="000F2058" w:rsidRDefault="000F2058" w:rsidP="000F2058">
      <w:pPr>
        <w:jc w:val="center"/>
        <w:rPr>
          <w:rFonts w:ascii="Arial" w:eastAsia="Arial" w:hAnsi="Arial" w:cs="Arial"/>
          <w:b/>
          <w:bCs/>
          <w:sz w:val="22"/>
          <w:szCs w:val="22"/>
        </w:rPr>
      </w:pPr>
    </w:p>
    <w:p w14:paraId="454C6221" w14:textId="77777777" w:rsidR="000F2058" w:rsidRPr="000F2058" w:rsidRDefault="000F2058" w:rsidP="000F2058">
      <w:pPr>
        <w:jc w:val="center"/>
        <w:rPr>
          <w:rFonts w:ascii="Arial" w:eastAsia="Arial" w:hAnsi="Arial" w:cs="Arial"/>
          <w:b/>
          <w:bCs/>
          <w:sz w:val="22"/>
          <w:szCs w:val="22"/>
        </w:rPr>
      </w:pPr>
    </w:p>
    <w:p w14:paraId="45AE908E" w14:textId="6446578F" w:rsidR="000F2058" w:rsidRPr="000F2058" w:rsidRDefault="000F2058" w:rsidP="000F2058">
      <w:pPr>
        <w:jc w:val="center"/>
        <w:rPr>
          <w:rFonts w:ascii="Arial" w:hAnsi="Arial" w:cs="Arial"/>
          <w:b/>
          <w:bCs/>
          <w:sz w:val="22"/>
          <w:szCs w:val="22"/>
        </w:rPr>
      </w:pPr>
      <w:r>
        <w:rPr>
          <w:rFonts w:ascii="Arial" w:hAnsi="Arial" w:cs="Arial"/>
          <w:b/>
          <w:bCs/>
          <w:sz w:val="22"/>
          <w:szCs w:val="22"/>
        </w:rPr>
        <w:t xml:space="preserve">AMPLIACIÓN A LA INFORMACIÓN DADA EN EL </w:t>
      </w:r>
      <w:r w:rsidRPr="000F2058">
        <w:rPr>
          <w:rFonts w:ascii="Arial" w:hAnsi="Arial" w:cs="Arial"/>
          <w:b/>
          <w:bCs/>
          <w:sz w:val="22"/>
          <w:szCs w:val="22"/>
        </w:rPr>
        <w:t>ESTUDIO TÉCNICO PARA EL PLAN DE ABASTECIMIENTO DE GAS NATURAL</w:t>
      </w:r>
      <w:r>
        <w:rPr>
          <w:rFonts w:ascii="Arial" w:hAnsi="Arial" w:cs="Arial"/>
          <w:b/>
          <w:bCs/>
          <w:sz w:val="22"/>
          <w:szCs w:val="22"/>
        </w:rPr>
        <w:t xml:space="preserve"> 2019-2028, EN LO REFERENTE A COSTOS DE RACIONAMIENTO</w:t>
      </w:r>
    </w:p>
    <w:p w14:paraId="0D9FF615" w14:textId="77777777" w:rsidR="000F2058" w:rsidRPr="000F2058" w:rsidRDefault="000F2058" w:rsidP="000F2058">
      <w:pPr>
        <w:jc w:val="center"/>
        <w:rPr>
          <w:rFonts w:ascii="Arial" w:hAnsi="Arial" w:cs="Arial"/>
          <w:b/>
          <w:bCs/>
          <w:sz w:val="22"/>
          <w:szCs w:val="22"/>
        </w:rPr>
      </w:pPr>
    </w:p>
    <w:p w14:paraId="221337E4" w14:textId="77777777" w:rsidR="000F2058" w:rsidRPr="000F2058" w:rsidRDefault="000F2058" w:rsidP="000F2058">
      <w:pPr>
        <w:jc w:val="center"/>
        <w:rPr>
          <w:rFonts w:ascii="Arial" w:hAnsi="Arial" w:cs="Arial"/>
          <w:b/>
          <w:bCs/>
          <w:sz w:val="22"/>
          <w:szCs w:val="22"/>
        </w:rPr>
      </w:pPr>
    </w:p>
    <w:p w14:paraId="6F0B5A39" w14:textId="77777777" w:rsidR="000F2058" w:rsidRPr="000F2058" w:rsidRDefault="000F2058" w:rsidP="000F2058">
      <w:pPr>
        <w:jc w:val="center"/>
        <w:rPr>
          <w:rFonts w:ascii="Arial" w:hAnsi="Arial" w:cs="Arial"/>
          <w:sz w:val="22"/>
          <w:szCs w:val="22"/>
        </w:rPr>
      </w:pPr>
    </w:p>
    <w:p w14:paraId="58FAA97F" w14:textId="77777777" w:rsidR="000F2058" w:rsidRPr="000F2058" w:rsidRDefault="000F2058" w:rsidP="000F2058">
      <w:pPr>
        <w:jc w:val="center"/>
        <w:rPr>
          <w:rFonts w:ascii="Arial" w:hAnsi="Arial" w:cs="Arial"/>
          <w:sz w:val="22"/>
          <w:szCs w:val="22"/>
        </w:rPr>
      </w:pPr>
    </w:p>
    <w:p w14:paraId="379AAA22" w14:textId="77777777" w:rsidR="000F2058" w:rsidRPr="000F2058" w:rsidRDefault="000F2058" w:rsidP="000F2058">
      <w:pPr>
        <w:jc w:val="center"/>
        <w:rPr>
          <w:rFonts w:ascii="Arial" w:hAnsi="Arial" w:cs="Arial"/>
          <w:sz w:val="22"/>
          <w:szCs w:val="22"/>
        </w:rPr>
      </w:pPr>
    </w:p>
    <w:p w14:paraId="49486408" w14:textId="77777777" w:rsidR="000F2058" w:rsidRPr="000F2058" w:rsidRDefault="000F2058" w:rsidP="000F2058">
      <w:pPr>
        <w:jc w:val="center"/>
        <w:rPr>
          <w:rFonts w:ascii="Arial" w:hAnsi="Arial" w:cs="Arial"/>
          <w:sz w:val="22"/>
          <w:szCs w:val="22"/>
        </w:rPr>
      </w:pPr>
    </w:p>
    <w:p w14:paraId="1D8DE75D" w14:textId="77777777" w:rsidR="000F2058" w:rsidRPr="000F2058" w:rsidRDefault="000F2058" w:rsidP="000F2058">
      <w:pPr>
        <w:jc w:val="center"/>
        <w:rPr>
          <w:rFonts w:ascii="Arial" w:hAnsi="Arial" w:cs="Arial"/>
          <w:sz w:val="22"/>
          <w:szCs w:val="22"/>
        </w:rPr>
      </w:pPr>
    </w:p>
    <w:p w14:paraId="3889B669" w14:textId="77777777" w:rsidR="000F2058" w:rsidRPr="000F2058" w:rsidRDefault="000F2058" w:rsidP="000F2058">
      <w:pPr>
        <w:jc w:val="center"/>
        <w:rPr>
          <w:rFonts w:ascii="Arial" w:hAnsi="Arial" w:cs="Arial"/>
          <w:sz w:val="22"/>
          <w:szCs w:val="22"/>
        </w:rPr>
      </w:pPr>
    </w:p>
    <w:p w14:paraId="0A1FB405" w14:textId="77777777" w:rsidR="000F2058" w:rsidRPr="000F2058" w:rsidRDefault="000F2058" w:rsidP="000F2058">
      <w:pPr>
        <w:jc w:val="center"/>
        <w:rPr>
          <w:rFonts w:ascii="Arial" w:hAnsi="Arial" w:cs="Arial"/>
          <w:sz w:val="22"/>
          <w:szCs w:val="22"/>
        </w:rPr>
      </w:pPr>
    </w:p>
    <w:p w14:paraId="136AFA37" w14:textId="77777777" w:rsidR="000F2058" w:rsidRPr="000F2058" w:rsidRDefault="000F2058" w:rsidP="000F2058">
      <w:pPr>
        <w:jc w:val="center"/>
        <w:rPr>
          <w:rFonts w:ascii="Arial" w:hAnsi="Arial" w:cs="Arial"/>
          <w:sz w:val="22"/>
          <w:szCs w:val="22"/>
        </w:rPr>
      </w:pPr>
    </w:p>
    <w:p w14:paraId="50128E84" w14:textId="77777777" w:rsidR="000F2058" w:rsidRPr="000F2058" w:rsidRDefault="000F2058" w:rsidP="000F2058">
      <w:pPr>
        <w:jc w:val="center"/>
        <w:rPr>
          <w:rFonts w:ascii="Arial" w:hAnsi="Arial" w:cs="Arial"/>
          <w:sz w:val="22"/>
          <w:szCs w:val="22"/>
        </w:rPr>
      </w:pPr>
    </w:p>
    <w:p w14:paraId="52786B3A" w14:textId="77777777" w:rsidR="000F2058" w:rsidRPr="000F2058" w:rsidRDefault="000F2058" w:rsidP="000F2058">
      <w:pPr>
        <w:jc w:val="center"/>
        <w:rPr>
          <w:rFonts w:ascii="Arial" w:hAnsi="Arial" w:cs="Arial"/>
          <w:sz w:val="22"/>
          <w:szCs w:val="22"/>
        </w:rPr>
      </w:pPr>
    </w:p>
    <w:p w14:paraId="2137DF40" w14:textId="77777777" w:rsidR="000F2058" w:rsidRPr="000F2058" w:rsidRDefault="000F2058" w:rsidP="000F2058">
      <w:pPr>
        <w:jc w:val="center"/>
        <w:rPr>
          <w:rFonts w:ascii="Arial" w:hAnsi="Arial" w:cs="Arial"/>
          <w:sz w:val="22"/>
          <w:szCs w:val="22"/>
        </w:rPr>
      </w:pPr>
    </w:p>
    <w:p w14:paraId="78511822" w14:textId="77777777" w:rsidR="000F2058" w:rsidRPr="000F2058" w:rsidRDefault="000F2058" w:rsidP="000F2058">
      <w:pPr>
        <w:jc w:val="center"/>
        <w:rPr>
          <w:rFonts w:ascii="Arial" w:hAnsi="Arial" w:cs="Arial"/>
          <w:sz w:val="22"/>
          <w:szCs w:val="22"/>
        </w:rPr>
      </w:pPr>
    </w:p>
    <w:p w14:paraId="5E63AC6F" w14:textId="77777777" w:rsidR="000F2058" w:rsidRPr="000F2058" w:rsidRDefault="000F2058" w:rsidP="000F2058">
      <w:pPr>
        <w:jc w:val="center"/>
        <w:rPr>
          <w:rFonts w:ascii="Arial" w:hAnsi="Arial" w:cs="Arial"/>
          <w:sz w:val="22"/>
          <w:szCs w:val="22"/>
        </w:rPr>
      </w:pPr>
    </w:p>
    <w:p w14:paraId="5FBC2365" w14:textId="77777777" w:rsidR="000F2058" w:rsidRPr="000F2058" w:rsidRDefault="000F2058" w:rsidP="000F2058">
      <w:pPr>
        <w:jc w:val="center"/>
        <w:rPr>
          <w:rFonts w:ascii="Arial" w:hAnsi="Arial" w:cs="Arial"/>
          <w:sz w:val="22"/>
          <w:szCs w:val="22"/>
        </w:rPr>
      </w:pPr>
    </w:p>
    <w:p w14:paraId="4E1EE214" w14:textId="77777777" w:rsidR="000F2058" w:rsidRPr="000F2058" w:rsidRDefault="000F2058" w:rsidP="000F2058">
      <w:pPr>
        <w:jc w:val="center"/>
        <w:rPr>
          <w:rFonts w:ascii="Arial" w:hAnsi="Arial" w:cs="Arial"/>
          <w:sz w:val="22"/>
          <w:szCs w:val="22"/>
        </w:rPr>
      </w:pPr>
    </w:p>
    <w:p w14:paraId="0DDCA50F" w14:textId="77777777" w:rsidR="000F2058" w:rsidRPr="000F2058" w:rsidRDefault="000F2058" w:rsidP="000F2058">
      <w:pPr>
        <w:jc w:val="center"/>
        <w:rPr>
          <w:rFonts w:ascii="Arial" w:hAnsi="Arial" w:cs="Arial"/>
          <w:sz w:val="22"/>
          <w:szCs w:val="22"/>
        </w:rPr>
      </w:pPr>
    </w:p>
    <w:p w14:paraId="09EF3467" w14:textId="77777777" w:rsidR="000F2058" w:rsidRPr="000F2058" w:rsidRDefault="000F2058" w:rsidP="000F2058">
      <w:pPr>
        <w:jc w:val="center"/>
        <w:rPr>
          <w:rFonts w:ascii="Arial" w:hAnsi="Arial" w:cs="Arial"/>
          <w:sz w:val="22"/>
          <w:szCs w:val="22"/>
        </w:rPr>
      </w:pPr>
    </w:p>
    <w:p w14:paraId="55875B44" w14:textId="77777777" w:rsidR="000F2058" w:rsidRPr="000F2058" w:rsidRDefault="000F2058" w:rsidP="000F2058">
      <w:pPr>
        <w:jc w:val="center"/>
        <w:rPr>
          <w:rFonts w:ascii="Arial" w:hAnsi="Arial" w:cs="Arial"/>
          <w:sz w:val="22"/>
          <w:szCs w:val="22"/>
        </w:rPr>
      </w:pPr>
    </w:p>
    <w:p w14:paraId="003DA603" w14:textId="420C763F" w:rsidR="000F2058" w:rsidRPr="000F2058" w:rsidRDefault="000F2058" w:rsidP="000F2058">
      <w:pPr>
        <w:jc w:val="center"/>
        <w:rPr>
          <w:rFonts w:ascii="Arial" w:eastAsia="Arial" w:hAnsi="Arial" w:cs="Arial"/>
          <w:b/>
          <w:sz w:val="22"/>
          <w:szCs w:val="22"/>
        </w:rPr>
      </w:pPr>
      <w:r w:rsidRPr="000F2058">
        <w:rPr>
          <w:rFonts w:ascii="Arial" w:hAnsi="Arial" w:cs="Arial"/>
          <w:sz w:val="22"/>
          <w:szCs w:val="22"/>
        </w:rPr>
        <w:t xml:space="preserve">Bogotá </w:t>
      </w:r>
      <w:proofErr w:type="gramStart"/>
      <w:r w:rsidRPr="000F2058">
        <w:rPr>
          <w:rFonts w:ascii="Arial" w:hAnsi="Arial" w:cs="Arial"/>
          <w:sz w:val="22"/>
          <w:szCs w:val="22"/>
        </w:rPr>
        <w:t>D.C. ,</w:t>
      </w:r>
      <w:proofErr w:type="gramEnd"/>
      <w:r w:rsidRPr="000F2058">
        <w:rPr>
          <w:rFonts w:ascii="Arial" w:hAnsi="Arial" w:cs="Arial"/>
          <w:sz w:val="22"/>
          <w:szCs w:val="22"/>
        </w:rPr>
        <w:t xml:space="preserve">  Septiembre, 2023.</w:t>
      </w:r>
    </w:p>
    <w:p w14:paraId="6E29EB60" w14:textId="77777777" w:rsidR="000F2058" w:rsidRDefault="000F2058" w:rsidP="000F2058">
      <w:pPr>
        <w:jc w:val="center"/>
        <w:rPr>
          <w:rFonts w:ascii="Arial" w:eastAsia="Arial" w:hAnsi="Arial" w:cs="Arial"/>
          <w:b/>
          <w:sz w:val="22"/>
          <w:szCs w:val="22"/>
        </w:rPr>
      </w:pPr>
    </w:p>
    <w:p w14:paraId="4A0C3739" w14:textId="77777777" w:rsidR="000F2058" w:rsidRDefault="000F2058">
      <w:pPr>
        <w:rPr>
          <w:rFonts w:ascii="Arial" w:eastAsia="Arial" w:hAnsi="Arial" w:cs="Arial"/>
          <w:b/>
          <w:sz w:val="22"/>
          <w:szCs w:val="22"/>
        </w:rPr>
      </w:pPr>
    </w:p>
    <w:p w14:paraId="58978B17" w14:textId="77777777" w:rsidR="000F2058" w:rsidRDefault="000F2058">
      <w:pPr>
        <w:rPr>
          <w:rFonts w:ascii="Arial" w:eastAsia="Arial" w:hAnsi="Arial" w:cs="Arial"/>
          <w:b/>
          <w:sz w:val="22"/>
          <w:szCs w:val="22"/>
        </w:rPr>
      </w:pPr>
    </w:p>
    <w:p w14:paraId="7FCF1B3F" w14:textId="77777777" w:rsidR="000F2058" w:rsidRDefault="000F2058">
      <w:pPr>
        <w:rPr>
          <w:rFonts w:ascii="Arial" w:eastAsia="Arial" w:hAnsi="Arial" w:cs="Arial"/>
          <w:b/>
          <w:sz w:val="22"/>
          <w:szCs w:val="22"/>
        </w:rPr>
      </w:pPr>
    </w:p>
    <w:p w14:paraId="2E433030" w14:textId="77777777" w:rsidR="000F2058" w:rsidRDefault="000F2058">
      <w:pPr>
        <w:rPr>
          <w:rFonts w:ascii="Arial" w:eastAsia="Arial" w:hAnsi="Arial" w:cs="Arial"/>
          <w:b/>
          <w:sz w:val="22"/>
          <w:szCs w:val="22"/>
        </w:rPr>
      </w:pPr>
    </w:p>
    <w:p w14:paraId="260D1D2B" w14:textId="77777777" w:rsidR="000F2058" w:rsidRDefault="000F2058">
      <w:pPr>
        <w:rPr>
          <w:rFonts w:ascii="Arial" w:eastAsia="Arial" w:hAnsi="Arial" w:cs="Arial"/>
          <w:b/>
          <w:sz w:val="22"/>
          <w:szCs w:val="22"/>
        </w:rPr>
      </w:pPr>
    </w:p>
    <w:p w14:paraId="7D204541" w14:textId="77777777" w:rsidR="000F2058" w:rsidRDefault="000F2058">
      <w:pPr>
        <w:rPr>
          <w:rFonts w:ascii="Arial" w:eastAsia="Arial" w:hAnsi="Arial" w:cs="Arial"/>
          <w:b/>
          <w:sz w:val="22"/>
          <w:szCs w:val="22"/>
        </w:rPr>
      </w:pPr>
    </w:p>
    <w:p w14:paraId="5FB84E9A" w14:textId="77777777" w:rsidR="000F2058" w:rsidRDefault="000F2058">
      <w:pPr>
        <w:rPr>
          <w:rFonts w:ascii="Arial" w:eastAsia="Arial" w:hAnsi="Arial" w:cs="Arial"/>
          <w:b/>
          <w:sz w:val="22"/>
          <w:szCs w:val="22"/>
        </w:rPr>
      </w:pPr>
    </w:p>
    <w:p w14:paraId="3C9F2EEB" w14:textId="77777777" w:rsidR="000F2058" w:rsidRDefault="000F2058">
      <w:pPr>
        <w:rPr>
          <w:rFonts w:ascii="Arial" w:eastAsia="Arial" w:hAnsi="Arial" w:cs="Arial"/>
          <w:b/>
          <w:sz w:val="22"/>
          <w:szCs w:val="22"/>
        </w:rPr>
      </w:pPr>
    </w:p>
    <w:p w14:paraId="510DE2BA" w14:textId="28CE15F5" w:rsidR="000F2058" w:rsidRDefault="000F2058">
      <w:pPr>
        <w:rPr>
          <w:rFonts w:ascii="Arial" w:eastAsia="Arial" w:hAnsi="Arial" w:cs="Arial"/>
          <w:b/>
          <w:sz w:val="22"/>
          <w:szCs w:val="22"/>
        </w:rPr>
      </w:pPr>
      <w:r w:rsidRPr="000F2058">
        <w:rPr>
          <w:rFonts w:ascii="Arial" w:eastAsia="Arial" w:hAnsi="Arial" w:cs="Arial"/>
          <w:b/>
          <w:sz w:val="22"/>
          <w:szCs w:val="22"/>
        </w:rPr>
        <w:t>INTRODUCCIÓN</w:t>
      </w:r>
    </w:p>
    <w:p w14:paraId="02BD0C1E" w14:textId="77777777" w:rsidR="000F2058" w:rsidRDefault="000F2058">
      <w:pPr>
        <w:rPr>
          <w:rFonts w:ascii="Arial" w:eastAsia="Arial" w:hAnsi="Arial" w:cs="Arial"/>
          <w:b/>
          <w:sz w:val="22"/>
          <w:szCs w:val="22"/>
        </w:rPr>
      </w:pPr>
    </w:p>
    <w:p w14:paraId="04CF4CB0" w14:textId="3FB794EE" w:rsidR="002C3819" w:rsidRPr="002C3819" w:rsidRDefault="002C3819" w:rsidP="002C3819">
      <w:pPr>
        <w:jc w:val="both"/>
        <w:rPr>
          <w:rFonts w:ascii="Arial" w:eastAsia="Arial" w:hAnsi="Arial" w:cs="Arial"/>
          <w:bCs/>
          <w:sz w:val="22"/>
          <w:szCs w:val="22"/>
          <w:lang w:val="es-CO"/>
        </w:rPr>
      </w:pPr>
      <w:r w:rsidRPr="002C3819">
        <w:rPr>
          <w:rFonts w:ascii="Arial" w:eastAsia="Arial" w:hAnsi="Arial" w:cs="Arial"/>
          <w:bCs/>
          <w:sz w:val="22"/>
          <w:szCs w:val="22"/>
          <w:lang w:val="es-CO"/>
        </w:rPr>
        <w:t xml:space="preserve">El </w:t>
      </w:r>
      <w:bookmarkStart w:id="0" w:name="_Hlk145000602"/>
      <w:r w:rsidRPr="002C3819">
        <w:rPr>
          <w:rFonts w:ascii="Arial" w:eastAsia="Arial" w:hAnsi="Arial" w:cs="Arial"/>
          <w:bCs/>
          <w:sz w:val="22"/>
          <w:szCs w:val="22"/>
          <w:lang w:val="es-CO"/>
        </w:rPr>
        <w:t>Decreto Ley 1258 de 2013</w:t>
      </w:r>
      <w:bookmarkEnd w:id="0"/>
      <w:r w:rsidRPr="002C3819">
        <w:rPr>
          <w:rFonts w:ascii="Arial" w:eastAsia="Arial" w:hAnsi="Arial" w:cs="Arial"/>
          <w:bCs/>
          <w:sz w:val="22"/>
          <w:szCs w:val="22"/>
          <w:lang w:val="es-CO"/>
        </w:rPr>
        <w:t xml:space="preserve">, </w:t>
      </w:r>
      <w:r w:rsidRPr="002C3819">
        <w:rPr>
          <w:rFonts w:ascii="Arial" w:eastAsia="Arial" w:hAnsi="Arial" w:cs="Arial"/>
          <w:bCs/>
          <w:sz w:val="22"/>
          <w:szCs w:val="22"/>
        </w:rPr>
        <w:t xml:space="preserve">por el cual se modifica la estructura de la Unidad de Planeación </w:t>
      </w:r>
      <w:r w:rsidR="00B34D5B" w:rsidRPr="002C3819">
        <w:rPr>
          <w:rFonts w:ascii="Arial" w:eastAsia="Arial" w:hAnsi="Arial" w:cs="Arial"/>
          <w:bCs/>
          <w:sz w:val="22"/>
          <w:szCs w:val="22"/>
        </w:rPr>
        <w:t>Minero-Energética</w:t>
      </w:r>
      <w:r w:rsidRPr="002C3819">
        <w:rPr>
          <w:rFonts w:ascii="Arial" w:eastAsia="Arial" w:hAnsi="Arial" w:cs="Arial"/>
          <w:bCs/>
          <w:sz w:val="22"/>
          <w:szCs w:val="22"/>
        </w:rPr>
        <w:t xml:space="preserve"> (UPME),</w:t>
      </w:r>
      <w:r w:rsidRPr="002C3819">
        <w:rPr>
          <w:rFonts w:ascii="Arial" w:eastAsia="Arial" w:hAnsi="Arial" w:cs="Arial"/>
          <w:bCs/>
          <w:i/>
          <w:iCs/>
          <w:sz w:val="22"/>
          <w:szCs w:val="22"/>
        </w:rPr>
        <w:t xml:space="preserve"> </w:t>
      </w:r>
      <w:r w:rsidRPr="002C3819">
        <w:rPr>
          <w:rFonts w:ascii="Arial" w:eastAsia="Arial" w:hAnsi="Arial" w:cs="Arial"/>
          <w:bCs/>
          <w:sz w:val="22"/>
          <w:szCs w:val="22"/>
        </w:rPr>
        <w:t>en el numeral 4 del artículo 14 establece como función de la UPME “</w:t>
      </w:r>
      <w:r w:rsidRPr="002C3819">
        <w:rPr>
          <w:rFonts w:ascii="Arial" w:eastAsia="Arial" w:hAnsi="Arial" w:cs="Arial"/>
          <w:bCs/>
          <w:i/>
          <w:iCs/>
          <w:sz w:val="22"/>
          <w:szCs w:val="22"/>
        </w:rPr>
        <w:t>elaborar los planes indicativos de abastecimiento de hidrocarburos con base en los lineamientos establecidos por el Ministerio de Minas y Energía y proponer estrategias para satisfacer los requerimientos de la población</w:t>
      </w:r>
      <w:r w:rsidRPr="002C3819">
        <w:rPr>
          <w:rFonts w:ascii="Arial" w:eastAsia="Arial" w:hAnsi="Arial" w:cs="Arial"/>
          <w:bCs/>
          <w:sz w:val="22"/>
          <w:szCs w:val="22"/>
        </w:rPr>
        <w:t>.</w:t>
      </w:r>
      <w:r>
        <w:rPr>
          <w:rFonts w:ascii="Arial" w:eastAsia="Arial" w:hAnsi="Arial" w:cs="Arial"/>
          <w:bCs/>
          <w:sz w:val="22"/>
          <w:szCs w:val="22"/>
        </w:rPr>
        <w:t>”</w:t>
      </w:r>
    </w:p>
    <w:p w14:paraId="4A446F96" w14:textId="77777777" w:rsidR="002C3819" w:rsidRDefault="002C3819" w:rsidP="002C3819">
      <w:pPr>
        <w:jc w:val="both"/>
        <w:rPr>
          <w:rFonts w:ascii="Arial" w:eastAsia="Arial" w:hAnsi="Arial" w:cs="Arial"/>
          <w:bCs/>
          <w:sz w:val="22"/>
          <w:szCs w:val="22"/>
          <w:lang w:val="es-CO"/>
        </w:rPr>
      </w:pPr>
    </w:p>
    <w:p w14:paraId="509A8E98" w14:textId="28AC5B2F" w:rsidR="002C3819" w:rsidRPr="002C3819" w:rsidRDefault="002C3819" w:rsidP="002C3819">
      <w:pPr>
        <w:jc w:val="both"/>
        <w:rPr>
          <w:rFonts w:ascii="Arial" w:eastAsia="Arial" w:hAnsi="Arial" w:cs="Arial"/>
          <w:bCs/>
          <w:sz w:val="22"/>
          <w:szCs w:val="22"/>
          <w:lang w:val="es-CO"/>
        </w:rPr>
      </w:pPr>
      <w:r>
        <w:rPr>
          <w:rFonts w:ascii="Arial" w:eastAsia="Arial" w:hAnsi="Arial" w:cs="Arial"/>
          <w:bCs/>
          <w:sz w:val="22"/>
          <w:szCs w:val="22"/>
          <w:lang w:val="es-CO"/>
        </w:rPr>
        <w:t>Así mismo, e</w:t>
      </w:r>
      <w:r w:rsidRPr="002C3819">
        <w:rPr>
          <w:rFonts w:ascii="Arial" w:eastAsia="Arial" w:hAnsi="Arial" w:cs="Arial"/>
          <w:bCs/>
          <w:sz w:val="22"/>
          <w:szCs w:val="22"/>
          <w:lang w:val="es-CO"/>
        </w:rPr>
        <w:t xml:space="preserve">n </w:t>
      </w:r>
      <w:bookmarkStart w:id="1" w:name="_Hlk145000619"/>
      <w:r w:rsidRPr="002C3819">
        <w:rPr>
          <w:rFonts w:ascii="Arial" w:eastAsia="Arial" w:hAnsi="Arial" w:cs="Arial"/>
          <w:bCs/>
          <w:sz w:val="22"/>
          <w:szCs w:val="22"/>
          <w:lang w:val="es-CO"/>
        </w:rPr>
        <w:t>el Decreto 2345 de 2015, el cual modificó el Decreto 1073 de 2015</w:t>
      </w:r>
      <w:bookmarkEnd w:id="1"/>
      <w:r w:rsidRPr="002C3819">
        <w:rPr>
          <w:rFonts w:ascii="Arial" w:eastAsia="Arial" w:hAnsi="Arial" w:cs="Arial"/>
          <w:bCs/>
          <w:sz w:val="22"/>
          <w:szCs w:val="22"/>
          <w:lang w:val="es-CO"/>
        </w:rPr>
        <w:t xml:space="preserve">, la Unidad de Planeación </w:t>
      </w:r>
      <w:r w:rsidR="00B34D5B" w:rsidRPr="002C3819">
        <w:rPr>
          <w:rFonts w:ascii="Arial" w:eastAsia="Arial" w:hAnsi="Arial" w:cs="Arial"/>
          <w:bCs/>
          <w:sz w:val="22"/>
          <w:szCs w:val="22"/>
          <w:lang w:val="es-CO"/>
        </w:rPr>
        <w:t>Minero-Energética</w:t>
      </w:r>
      <w:r w:rsidRPr="002C3819">
        <w:rPr>
          <w:rFonts w:ascii="Arial" w:eastAsia="Arial" w:hAnsi="Arial" w:cs="Arial"/>
          <w:bCs/>
          <w:sz w:val="22"/>
          <w:szCs w:val="22"/>
          <w:lang w:val="es-CO"/>
        </w:rPr>
        <w:t xml:space="preserve"> </w:t>
      </w:r>
      <w:r>
        <w:rPr>
          <w:rFonts w:ascii="Arial" w:eastAsia="Arial" w:hAnsi="Arial" w:cs="Arial"/>
          <w:bCs/>
          <w:sz w:val="22"/>
          <w:szCs w:val="22"/>
          <w:lang w:val="es-CO"/>
        </w:rPr>
        <w:t xml:space="preserve">cuenta con el deber de </w:t>
      </w:r>
      <w:r w:rsidRPr="002C3819">
        <w:rPr>
          <w:rFonts w:ascii="Arial" w:eastAsia="Arial" w:hAnsi="Arial" w:cs="Arial"/>
          <w:bCs/>
          <w:sz w:val="22"/>
          <w:szCs w:val="22"/>
          <w:lang w:val="es-CO"/>
        </w:rPr>
        <w:t>elaborar un Plan de Abastecimiento de Gas Natural, cuyo propósito es la identificación de los proyectos necesarios para garantizar la seguridad de abastecimiento y la confiabilidad del servicio de gas natural. El mismo decreto señala que el Ministerio de Minas y Energía adoptará un plan de Abastecimiento de Gas Natural para un periodo de diez (10) años, cuyo insumo principal es el Plan realizado por UPME.</w:t>
      </w:r>
    </w:p>
    <w:p w14:paraId="769C7694" w14:textId="77777777" w:rsidR="002C3819" w:rsidRDefault="002C3819" w:rsidP="00191E03">
      <w:pPr>
        <w:jc w:val="both"/>
        <w:rPr>
          <w:rFonts w:ascii="Arial" w:eastAsia="Arial" w:hAnsi="Arial" w:cs="Arial"/>
          <w:bCs/>
          <w:sz w:val="22"/>
          <w:szCs w:val="22"/>
        </w:rPr>
      </w:pPr>
    </w:p>
    <w:p w14:paraId="2C892E19" w14:textId="218844F9" w:rsidR="000F2058" w:rsidRDefault="002C3819" w:rsidP="00191E03">
      <w:pPr>
        <w:jc w:val="both"/>
        <w:rPr>
          <w:rFonts w:ascii="Arial" w:eastAsia="Arial" w:hAnsi="Arial" w:cs="Arial"/>
          <w:bCs/>
          <w:sz w:val="22"/>
          <w:szCs w:val="22"/>
        </w:rPr>
      </w:pPr>
      <w:r>
        <w:rPr>
          <w:rFonts w:ascii="Arial" w:eastAsia="Arial" w:hAnsi="Arial" w:cs="Arial"/>
          <w:bCs/>
          <w:sz w:val="22"/>
          <w:szCs w:val="22"/>
        </w:rPr>
        <w:t>En este sentido, e</w:t>
      </w:r>
      <w:r w:rsidR="000F2058" w:rsidRPr="00191E03">
        <w:rPr>
          <w:rFonts w:ascii="Arial" w:eastAsia="Arial" w:hAnsi="Arial" w:cs="Arial"/>
          <w:bCs/>
          <w:sz w:val="22"/>
          <w:szCs w:val="22"/>
        </w:rPr>
        <w:t>l estudio técnico para el plan de abastecimiento de gas natural</w:t>
      </w:r>
      <w:r w:rsidR="00191E03">
        <w:rPr>
          <w:rFonts w:ascii="Arial" w:eastAsia="Arial" w:hAnsi="Arial" w:cs="Arial"/>
          <w:bCs/>
          <w:sz w:val="22"/>
          <w:szCs w:val="22"/>
        </w:rPr>
        <w:t xml:space="preserve"> 2019-2028</w:t>
      </w:r>
      <w:r w:rsidR="000F2058" w:rsidRPr="00191E03">
        <w:rPr>
          <w:rFonts w:ascii="Arial" w:eastAsia="Arial" w:hAnsi="Arial" w:cs="Arial"/>
          <w:bCs/>
          <w:sz w:val="22"/>
          <w:szCs w:val="22"/>
        </w:rPr>
        <w:t xml:space="preserve">, expedido en julio de 2020, </w:t>
      </w:r>
      <w:r w:rsidR="00191E03" w:rsidRPr="00191E03">
        <w:rPr>
          <w:rFonts w:ascii="Arial" w:eastAsia="Arial" w:hAnsi="Arial" w:cs="Arial"/>
          <w:bCs/>
          <w:sz w:val="22"/>
          <w:szCs w:val="22"/>
        </w:rPr>
        <w:t>constituye un “instrumento de planeación que proporciona una evaluación sobre disponibilidad de oferta y el crecimiento de la demanda de gas natural en el corto, mediano y largo plazo, brindando mayor certidumbre sobre los proyectos de infraestructura en suministro y transporte de gas natural en el país, así como elementos para la toma de decisiones de inversión. Para su elaboración, se ha contado con la mejor información disponible en las diferentes variables utilizadas de oferta, demanda, precios, entre otras</w:t>
      </w:r>
      <w:r w:rsidR="001C51A2">
        <w:rPr>
          <w:rStyle w:val="Refdenotaalpie"/>
          <w:rFonts w:ascii="Arial" w:eastAsia="Arial" w:hAnsi="Arial" w:cs="Arial"/>
          <w:bCs/>
          <w:sz w:val="22"/>
          <w:szCs w:val="22"/>
        </w:rPr>
        <w:footnoteReference w:id="1"/>
      </w:r>
      <w:r w:rsidR="00191E03" w:rsidRPr="00191E03">
        <w:rPr>
          <w:rFonts w:ascii="Arial" w:eastAsia="Arial" w:hAnsi="Arial" w:cs="Arial"/>
          <w:bCs/>
          <w:sz w:val="22"/>
          <w:szCs w:val="22"/>
        </w:rPr>
        <w:t>.</w:t>
      </w:r>
      <w:r w:rsidR="00191E03">
        <w:rPr>
          <w:rFonts w:ascii="Arial" w:eastAsia="Arial" w:hAnsi="Arial" w:cs="Arial"/>
          <w:bCs/>
          <w:sz w:val="22"/>
          <w:szCs w:val="22"/>
        </w:rPr>
        <w:t>”</w:t>
      </w:r>
    </w:p>
    <w:p w14:paraId="30CD7DDE" w14:textId="77777777" w:rsidR="00191E03" w:rsidRDefault="00191E03" w:rsidP="00191E03">
      <w:pPr>
        <w:jc w:val="both"/>
        <w:rPr>
          <w:rFonts w:ascii="Arial" w:eastAsia="Arial" w:hAnsi="Arial" w:cs="Arial"/>
          <w:bCs/>
          <w:sz w:val="22"/>
          <w:szCs w:val="22"/>
        </w:rPr>
      </w:pPr>
    </w:p>
    <w:p w14:paraId="3CB18649" w14:textId="0D67C793" w:rsidR="00191E03" w:rsidRPr="00B34D5B" w:rsidRDefault="00B34D5B" w:rsidP="00191E03">
      <w:pPr>
        <w:jc w:val="both"/>
        <w:rPr>
          <w:rFonts w:ascii="Arial" w:eastAsia="Arial" w:hAnsi="Arial" w:cs="Arial"/>
          <w:bCs/>
          <w:sz w:val="22"/>
          <w:szCs w:val="22"/>
        </w:rPr>
      </w:pPr>
      <w:r>
        <w:rPr>
          <w:rFonts w:ascii="Arial" w:eastAsia="Arial" w:hAnsi="Arial" w:cs="Arial"/>
          <w:bCs/>
          <w:sz w:val="22"/>
          <w:szCs w:val="22"/>
        </w:rPr>
        <w:t>Así las cosas</w:t>
      </w:r>
      <w:r w:rsidR="002C3819">
        <w:rPr>
          <w:rFonts w:ascii="Arial" w:eastAsia="Arial" w:hAnsi="Arial" w:cs="Arial"/>
          <w:bCs/>
          <w:sz w:val="22"/>
          <w:szCs w:val="22"/>
        </w:rPr>
        <w:t xml:space="preserve">, </w:t>
      </w:r>
      <w:r w:rsidR="00191E03">
        <w:rPr>
          <w:rFonts w:ascii="Arial" w:eastAsia="Arial" w:hAnsi="Arial" w:cs="Arial"/>
          <w:bCs/>
          <w:sz w:val="22"/>
          <w:szCs w:val="22"/>
        </w:rPr>
        <w:t xml:space="preserve">la UPME </w:t>
      </w:r>
      <w:r w:rsidR="00191E03" w:rsidRPr="00191E03">
        <w:rPr>
          <w:rFonts w:ascii="Arial" w:eastAsia="Arial" w:hAnsi="Arial" w:cs="Arial"/>
          <w:bCs/>
          <w:sz w:val="22"/>
          <w:szCs w:val="22"/>
          <w:lang w:val="es-CO"/>
        </w:rPr>
        <w:t>ampliar</w:t>
      </w:r>
      <w:r w:rsidR="00411D4B">
        <w:rPr>
          <w:rFonts w:ascii="Arial" w:eastAsia="Arial" w:hAnsi="Arial" w:cs="Arial"/>
          <w:bCs/>
          <w:sz w:val="22"/>
          <w:szCs w:val="22"/>
          <w:lang w:val="es-CO"/>
        </w:rPr>
        <w:t>á</w:t>
      </w:r>
      <w:r w:rsidR="00191E03" w:rsidRPr="00191E03">
        <w:rPr>
          <w:rFonts w:ascii="Arial" w:eastAsia="Arial" w:hAnsi="Arial" w:cs="Arial"/>
          <w:bCs/>
          <w:sz w:val="22"/>
          <w:szCs w:val="22"/>
          <w:lang w:val="es-CO"/>
        </w:rPr>
        <w:t xml:space="preserve"> la información publicada en el estudio técnico del plan de abastecimiento de gas natural 2019-2028, en adelante, ETPAGN 2019-2028</w:t>
      </w:r>
      <w:r w:rsidR="00BC556E">
        <w:rPr>
          <w:rFonts w:ascii="Arial" w:eastAsia="Arial" w:hAnsi="Arial" w:cs="Arial"/>
          <w:bCs/>
          <w:sz w:val="22"/>
          <w:szCs w:val="22"/>
          <w:lang w:val="es-CO"/>
        </w:rPr>
        <w:t>,</w:t>
      </w:r>
      <w:r w:rsidR="00191E03" w:rsidRPr="00191E03">
        <w:rPr>
          <w:rFonts w:ascii="Arial" w:eastAsia="Arial" w:hAnsi="Arial" w:cs="Arial"/>
          <w:bCs/>
          <w:sz w:val="22"/>
          <w:szCs w:val="22"/>
          <w:lang w:val="es-CO"/>
        </w:rPr>
        <w:t xml:space="preserve"> </w:t>
      </w:r>
      <w:bookmarkStart w:id="2" w:name="_Hlk144999682"/>
      <w:r w:rsidR="00191E03">
        <w:rPr>
          <w:rFonts w:ascii="Arial" w:eastAsia="Arial" w:hAnsi="Arial" w:cs="Arial"/>
          <w:bCs/>
          <w:sz w:val="22"/>
          <w:szCs w:val="22"/>
          <w:lang w:val="es-CO"/>
        </w:rPr>
        <w:t>respecto de</w:t>
      </w:r>
      <w:r w:rsidR="00191E03" w:rsidRPr="00191E03">
        <w:rPr>
          <w:rFonts w:ascii="Arial" w:eastAsia="Arial" w:hAnsi="Arial" w:cs="Arial"/>
          <w:bCs/>
          <w:sz w:val="22"/>
          <w:szCs w:val="22"/>
          <w:lang w:val="es-CO"/>
        </w:rPr>
        <w:t xml:space="preserve"> los Costos de Racionamiento de Gas Natural estimados</w:t>
      </w:r>
      <w:bookmarkEnd w:id="2"/>
      <w:r w:rsidR="00191E03" w:rsidRPr="00191E03">
        <w:rPr>
          <w:rFonts w:ascii="Arial" w:eastAsia="Arial" w:hAnsi="Arial" w:cs="Arial"/>
          <w:bCs/>
          <w:sz w:val="22"/>
          <w:szCs w:val="22"/>
          <w:lang w:val="es-CO"/>
        </w:rPr>
        <w:t xml:space="preserve">, </w:t>
      </w:r>
      <w:r w:rsidR="00191E03">
        <w:rPr>
          <w:rFonts w:ascii="Arial" w:eastAsia="Arial" w:hAnsi="Arial" w:cs="Arial"/>
          <w:bCs/>
          <w:sz w:val="22"/>
          <w:szCs w:val="22"/>
          <w:lang w:val="es-CO"/>
        </w:rPr>
        <w:t xml:space="preserve">pues la información fue </w:t>
      </w:r>
      <w:r w:rsidR="00191E03" w:rsidRPr="00191E03">
        <w:rPr>
          <w:rFonts w:ascii="Arial" w:eastAsia="Arial" w:hAnsi="Arial" w:cs="Arial"/>
          <w:bCs/>
          <w:sz w:val="22"/>
          <w:szCs w:val="22"/>
          <w:lang w:val="es-CO"/>
        </w:rPr>
        <w:t>presentada de forma agregada a nivel nacional y sectorial en el documento</w:t>
      </w:r>
      <w:r w:rsidR="00BC556E">
        <w:rPr>
          <w:rFonts w:ascii="Arial" w:eastAsia="Arial" w:hAnsi="Arial" w:cs="Arial"/>
          <w:bCs/>
          <w:sz w:val="22"/>
          <w:szCs w:val="22"/>
          <w:lang w:val="es-CO"/>
        </w:rPr>
        <w:t xml:space="preserve"> </w:t>
      </w:r>
      <w:r w:rsidR="00191E03" w:rsidRPr="00191E03">
        <w:rPr>
          <w:rFonts w:ascii="Arial" w:eastAsia="Arial" w:hAnsi="Arial" w:cs="Arial"/>
          <w:bCs/>
          <w:sz w:val="22"/>
          <w:szCs w:val="22"/>
          <w:lang w:val="es-CO"/>
        </w:rPr>
        <w:t>"</w:t>
      </w:r>
      <w:hyperlink r:id="rId9" w:tgtFrame="_blank" w:history="1">
        <w:r w:rsidR="00191E03" w:rsidRPr="00191E03">
          <w:rPr>
            <w:rStyle w:val="Hipervnculo"/>
            <w:rFonts w:ascii="Arial" w:eastAsia="Arial" w:hAnsi="Arial" w:cs="Arial"/>
            <w:bCs/>
            <w:sz w:val="22"/>
            <w:szCs w:val="22"/>
            <w:lang w:val="es-CO"/>
          </w:rPr>
          <w:t>Estudio Técnico para el Plan de Abastecimiento de Gas Natural. Versión Julio 2020</w:t>
        </w:r>
      </w:hyperlink>
      <w:r w:rsidR="00191E03" w:rsidRPr="00191E03">
        <w:rPr>
          <w:rFonts w:ascii="Arial" w:eastAsia="Arial" w:hAnsi="Arial" w:cs="Arial"/>
          <w:bCs/>
          <w:sz w:val="22"/>
          <w:szCs w:val="22"/>
          <w:lang w:val="es-CO"/>
        </w:rPr>
        <w:t>", página 121</w:t>
      </w:r>
      <w:r w:rsidR="00BC556E">
        <w:rPr>
          <w:rFonts w:ascii="Arial" w:eastAsia="Arial" w:hAnsi="Arial" w:cs="Arial"/>
          <w:bCs/>
          <w:sz w:val="22"/>
          <w:szCs w:val="22"/>
          <w:lang w:val="es-CO"/>
        </w:rPr>
        <w:t>, s</w:t>
      </w:r>
      <w:r w:rsidR="001C51A2">
        <w:rPr>
          <w:rFonts w:ascii="Arial" w:eastAsia="Arial" w:hAnsi="Arial" w:cs="Arial"/>
          <w:bCs/>
          <w:sz w:val="22"/>
          <w:szCs w:val="22"/>
          <w:lang w:val="es-CO"/>
        </w:rPr>
        <w:t xml:space="preserve">in </w:t>
      </w:r>
      <w:r w:rsidR="00D41285">
        <w:rPr>
          <w:rFonts w:ascii="Arial" w:eastAsia="Arial" w:hAnsi="Arial" w:cs="Arial"/>
          <w:bCs/>
          <w:sz w:val="22"/>
          <w:szCs w:val="22"/>
          <w:lang w:val="es-CO"/>
        </w:rPr>
        <w:t>embargo, las</w:t>
      </w:r>
      <w:r w:rsidR="00191E03">
        <w:rPr>
          <w:rFonts w:ascii="Arial" w:eastAsia="Arial" w:hAnsi="Arial" w:cs="Arial"/>
          <w:bCs/>
          <w:sz w:val="22"/>
          <w:szCs w:val="22"/>
          <w:lang w:val="es-CO"/>
        </w:rPr>
        <w:t xml:space="preserve"> dinámicas del mercado muestran la necesidad de</w:t>
      </w:r>
      <w:r w:rsidR="00411D4B">
        <w:rPr>
          <w:rFonts w:ascii="Arial" w:eastAsia="Arial" w:hAnsi="Arial" w:cs="Arial"/>
          <w:bCs/>
          <w:sz w:val="22"/>
          <w:szCs w:val="22"/>
          <w:lang w:val="es-CO"/>
        </w:rPr>
        <w:t xml:space="preserve"> desagregar la información de manera regional. </w:t>
      </w:r>
    </w:p>
    <w:p w14:paraId="4E1215B1" w14:textId="77777777" w:rsidR="00411D4B" w:rsidRDefault="00411D4B" w:rsidP="00191E03">
      <w:pPr>
        <w:jc w:val="both"/>
        <w:rPr>
          <w:rFonts w:ascii="Arial" w:eastAsia="Arial" w:hAnsi="Arial" w:cs="Arial"/>
          <w:bCs/>
          <w:sz w:val="22"/>
          <w:szCs w:val="22"/>
          <w:lang w:val="es-CO"/>
        </w:rPr>
      </w:pPr>
    </w:p>
    <w:p w14:paraId="3DE5E199" w14:textId="5801956D" w:rsidR="00191E03" w:rsidRPr="00191E03" w:rsidRDefault="00411D4B" w:rsidP="00191E03">
      <w:pPr>
        <w:jc w:val="both"/>
        <w:rPr>
          <w:rFonts w:ascii="Arial" w:eastAsia="Arial" w:hAnsi="Arial" w:cs="Arial"/>
          <w:bCs/>
          <w:sz w:val="22"/>
          <w:szCs w:val="22"/>
          <w:lang w:val="es-CO"/>
        </w:rPr>
      </w:pPr>
      <w:r>
        <w:rPr>
          <w:rFonts w:ascii="Arial" w:eastAsia="Arial" w:hAnsi="Arial" w:cs="Arial"/>
          <w:bCs/>
          <w:sz w:val="22"/>
          <w:szCs w:val="22"/>
          <w:lang w:val="es-CO"/>
        </w:rPr>
        <w:t>En consecuencia,</w:t>
      </w:r>
      <w:r w:rsidR="00B34D5B">
        <w:rPr>
          <w:rFonts w:ascii="Arial" w:eastAsia="Arial" w:hAnsi="Arial" w:cs="Arial"/>
          <w:bCs/>
          <w:sz w:val="22"/>
          <w:szCs w:val="22"/>
          <w:lang w:val="es-CO"/>
        </w:rPr>
        <w:t xml:space="preserve"> la </w:t>
      </w:r>
      <w:r w:rsidR="00191E03" w:rsidRPr="00191E03">
        <w:rPr>
          <w:rFonts w:ascii="Arial" w:eastAsia="Arial" w:hAnsi="Arial" w:cs="Arial"/>
          <w:bCs/>
          <w:sz w:val="22"/>
          <w:szCs w:val="22"/>
          <w:lang w:val="es-CO"/>
        </w:rPr>
        <w:t>ampliación de información</w:t>
      </w:r>
      <w:r w:rsidR="00B34D5B">
        <w:rPr>
          <w:rFonts w:ascii="Arial" w:eastAsia="Arial" w:hAnsi="Arial" w:cs="Arial"/>
          <w:bCs/>
          <w:sz w:val="22"/>
          <w:szCs w:val="22"/>
          <w:lang w:val="es-CO"/>
        </w:rPr>
        <w:t xml:space="preserve"> se</w:t>
      </w:r>
      <w:r w:rsidR="00191E03" w:rsidRPr="00191E03">
        <w:rPr>
          <w:rFonts w:ascii="Arial" w:eastAsia="Arial" w:hAnsi="Arial" w:cs="Arial"/>
          <w:bCs/>
          <w:sz w:val="22"/>
          <w:szCs w:val="22"/>
          <w:lang w:val="es-CO"/>
        </w:rPr>
        <w:t xml:space="preserve"> presenta en la primera hoja de cálculo</w:t>
      </w:r>
      <w:r>
        <w:rPr>
          <w:rFonts w:ascii="Arial" w:eastAsia="Arial" w:hAnsi="Arial" w:cs="Arial"/>
          <w:bCs/>
          <w:sz w:val="22"/>
          <w:szCs w:val="22"/>
          <w:lang w:val="es-CO"/>
        </w:rPr>
        <w:t xml:space="preserve"> </w:t>
      </w:r>
      <w:r w:rsidR="00191E03" w:rsidRPr="00191E03">
        <w:rPr>
          <w:rFonts w:ascii="Arial" w:eastAsia="Arial" w:hAnsi="Arial" w:cs="Arial"/>
          <w:bCs/>
          <w:sz w:val="22"/>
          <w:szCs w:val="22"/>
          <w:lang w:val="es-CO"/>
        </w:rPr>
        <w:t>"</w:t>
      </w:r>
      <w:proofErr w:type="spellStart"/>
      <w:r w:rsidR="00191E03" w:rsidRPr="00191E03">
        <w:rPr>
          <w:rFonts w:ascii="Arial" w:eastAsia="Arial" w:hAnsi="Arial" w:cs="Arial"/>
          <w:bCs/>
          <w:i/>
          <w:iCs/>
          <w:sz w:val="22"/>
          <w:szCs w:val="22"/>
          <w:lang w:val="es-CO"/>
        </w:rPr>
        <w:t>Resumen_Regional_Sector</w:t>
      </w:r>
      <w:proofErr w:type="spellEnd"/>
      <w:r w:rsidR="00191E03" w:rsidRPr="00191E03">
        <w:rPr>
          <w:rFonts w:ascii="Arial" w:eastAsia="Arial" w:hAnsi="Arial" w:cs="Arial"/>
          <w:bCs/>
          <w:sz w:val="22"/>
          <w:szCs w:val="22"/>
          <w:lang w:val="es-CO"/>
        </w:rPr>
        <w:t xml:space="preserve">", </w:t>
      </w:r>
      <w:r>
        <w:rPr>
          <w:rFonts w:ascii="Arial" w:eastAsia="Arial" w:hAnsi="Arial" w:cs="Arial"/>
          <w:bCs/>
          <w:sz w:val="22"/>
          <w:szCs w:val="22"/>
          <w:lang w:val="es-CO"/>
        </w:rPr>
        <w:t xml:space="preserve">en </w:t>
      </w:r>
      <w:r w:rsidR="00BC556E">
        <w:rPr>
          <w:rFonts w:ascii="Arial" w:eastAsia="Arial" w:hAnsi="Arial" w:cs="Arial"/>
          <w:bCs/>
          <w:sz w:val="22"/>
          <w:szCs w:val="22"/>
          <w:lang w:val="es-CO"/>
        </w:rPr>
        <w:t>la</w:t>
      </w:r>
      <w:r>
        <w:rPr>
          <w:rFonts w:ascii="Arial" w:eastAsia="Arial" w:hAnsi="Arial" w:cs="Arial"/>
          <w:bCs/>
          <w:sz w:val="22"/>
          <w:szCs w:val="22"/>
          <w:lang w:val="es-CO"/>
        </w:rPr>
        <w:t xml:space="preserve"> cual se muestra en síntesis</w:t>
      </w:r>
      <w:r w:rsidR="00191E03" w:rsidRPr="00191E03">
        <w:rPr>
          <w:rFonts w:ascii="Arial" w:eastAsia="Arial" w:hAnsi="Arial" w:cs="Arial"/>
          <w:bCs/>
          <w:sz w:val="22"/>
          <w:szCs w:val="22"/>
          <w:lang w:val="es-CO"/>
        </w:rPr>
        <w:t xml:space="preserve"> los costos de racionamiento estimados por la UPME actualizados a diciembre de 2019, empleados en el ETPAGN 2019-2028, a partir del estudio elaborado </w:t>
      </w:r>
      <w:r w:rsidR="00D41285">
        <w:rPr>
          <w:rFonts w:ascii="Arial" w:eastAsia="Arial" w:hAnsi="Arial" w:cs="Arial"/>
          <w:bCs/>
          <w:sz w:val="22"/>
          <w:szCs w:val="22"/>
          <w:lang w:val="es-CO"/>
        </w:rPr>
        <w:t>por la firma</w:t>
      </w:r>
      <w:r w:rsidR="00191E03" w:rsidRPr="00191E03">
        <w:rPr>
          <w:rFonts w:ascii="Arial" w:eastAsia="Arial" w:hAnsi="Arial" w:cs="Arial"/>
          <w:bCs/>
          <w:sz w:val="22"/>
          <w:szCs w:val="22"/>
          <w:lang w:val="es-CO"/>
        </w:rPr>
        <w:t xml:space="preserve"> Econometría </w:t>
      </w:r>
      <w:r w:rsidR="00D41285">
        <w:rPr>
          <w:rFonts w:ascii="Arial" w:eastAsia="Arial" w:hAnsi="Arial" w:cs="Arial"/>
          <w:bCs/>
          <w:sz w:val="22"/>
          <w:szCs w:val="22"/>
          <w:lang w:val="es-CO"/>
        </w:rPr>
        <w:t>en el</w:t>
      </w:r>
      <w:r w:rsidR="00191E03" w:rsidRPr="00191E03">
        <w:rPr>
          <w:rFonts w:ascii="Arial" w:eastAsia="Arial" w:hAnsi="Arial" w:cs="Arial"/>
          <w:bCs/>
          <w:sz w:val="22"/>
          <w:szCs w:val="22"/>
          <w:lang w:val="es-CO"/>
        </w:rPr>
        <w:t xml:space="preserve"> año 2015 titulado "</w:t>
      </w:r>
      <w:r w:rsidR="00191E03" w:rsidRPr="00191E03">
        <w:rPr>
          <w:rFonts w:ascii="Arial" w:eastAsia="Arial" w:hAnsi="Arial" w:cs="Arial"/>
          <w:bCs/>
          <w:i/>
          <w:iCs/>
          <w:sz w:val="22"/>
          <w:szCs w:val="22"/>
          <w:lang w:val="es-CO"/>
        </w:rPr>
        <w:t>Desarrollo de una metodología para determinar los costos de racionamiento de los sectores de electricidad y gas natural</w:t>
      </w:r>
      <w:r w:rsidR="00191E03" w:rsidRPr="00191E03">
        <w:rPr>
          <w:rFonts w:ascii="Arial" w:eastAsia="Arial" w:hAnsi="Arial" w:cs="Arial"/>
          <w:bCs/>
          <w:sz w:val="22"/>
          <w:szCs w:val="22"/>
          <w:lang w:val="es-CO"/>
        </w:rPr>
        <w:t>", y de los cálculos publicados en el "</w:t>
      </w:r>
      <w:hyperlink r:id="rId10" w:tgtFrame="_blank" w:history="1">
        <w:r w:rsidR="00191E03" w:rsidRPr="00191E03">
          <w:rPr>
            <w:rStyle w:val="Hipervnculo"/>
            <w:rFonts w:ascii="Arial" w:eastAsia="Arial" w:hAnsi="Arial" w:cs="Arial"/>
            <w:bCs/>
            <w:sz w:val="22"/>
            <w:szCs w:val="22"/>
            <w:lang w:val="es-CO"/>
          </w:rPr>
          <w:t>Plan transitorio de Abastecimiento de Gas Natural - versión Noviembre 2016</w:t>
        </w:r>
      </w:hyperlink>
      <w:r w:rsidR="00191E03" w:rsidRPr="00191E03">
        <w:rPr>
          <w:rFonts w:ascii="Arial" w:eastAsia="Arial" w:hAnsi="Arial" w:cs="Arial"/>
          <w:bCs/>
          <w:sz w:val="22"/>
          <w:szCs w:val="22"/>
          <w:lang w:val="es-CO"/>
        </w:rPr>
        <w:t>", página 170, disponible para consulta en el siguiente</w:t>
      </w:r>
      <w:r w:rsidR="00D41285">
        <w:rPr>
          <w:rFonts w:ascii="Arial" w:eastAsia="Arial" w:hAnsi="Arial" w:cs="Arial"/>
          <w:bCs/>
          <w:sz w:val="22"/>
          <w:szCs w:val="22"/>
          <w:lang w:val="es-CO"/>
        </w:rPr>
        <w:t xml:space="preserve"> </w:t>
      </w:r>
      <w:r w:rsidR="00191E03" w:rsidRPr="00191E03">
        <w:rPr>
          <w:rFonts w:ascii="Arial" w:eastAsia="Arial" w:hAnsi="Arial" w:cs="Arial"/>
          <w:bCs/>
          <w:sz w:val="22"/>
          <w:szCs w:val="22"/>
          <w:lang w:val="es-CO"/>
        </w:rPr>
        <w:t>enlace:</w:t>
      </w:r>
      <w:r w:rsidR="00BC556E">
        <w:rPr>
          <w:rFonts w:ascii="Arial" w:eastAsia="Arial" w:hAnsi="Arial" w:cs="Arial"/>
          <w:bCs/>
          <w:sz w:val="22"/>
          <w:szCs w:val="22"/>
          <w:lang w:val="es-CO"/>
        </w:rPr>
        <w:t xml:space="preserve"> </w:t>
      </w:r>
      <w:hyperlink r:id="rId11" w:tgtFrame="_blank" w:history="1">
        <w:r w:rsidR="00191E03" w:rsidRPr="00191E03">
          <w:rPr>
            <w:rStyle w:val="Hipervnculo"/>
            <w:rFonts w:ascii="Arial" w:eastAsia="Arial" w:hAnsi="Arial" w:cs="Arial"/>
            <w:bCs/>
            <w:sz w:val="22"/>
            <w:szCs w:val="22"/>
            <w:lang w:val="es-CO"/>
          </w:rPr>
          <w:t>https://www1.up</w:t>
        </w:r>
      </w:hyperlink>
      <w:hyperlink r:id="rId12" w:tgtFrame="_blank" w:history="1">
        <w:r w:rsidR="00191E03" w:rsidRPr="00191E03">
          <w:rPr>
            <w:rStyle w:val="Hipervnculo"/>
            <w:rFonts w:ascii="Arial" w:eastAsia="Arial" w:hAnsi="Arial" w:cs="Arial"/>
            <w:bCs/>
            <w:sz w:val="22"/>
            <w:szCs w:val="22"/>
            <w:lang w:val="es-CO"/>
          </w:rPr>
          <w:t>me.gov.co/Hidrocarburos/publicaciones/Plan_Transitorio_Abastecimiento_Gas_Natural.pdf</w:t>
        </w:r>
      </w:hyperlink>
      <w:r w:rsidR="00BC556E">
        <w:rPr>
          <w:rFonts w:ascii="Arial" w:eastAsia="Arial" w:hAnsi="Arial" w:cs="Arial"/>
          <w:bCs/>
          <w:sz w:val="22"/>
          <w:szCs w:val="22"/>
          <w:lang w:val="es-CO"/>
        </w:rPr>
        <w:t>.</w:t>
      </w:r>
    </w:p>
    <w:p w14:paraId="19907F24" w14:textId="370C81E0" w:rsidR="00191E03" w:rsidRPr="00191E03" w:rsidRDefault="00191E03" w:rsidP="00191E03">
      <w:pPr>
        <w:jc w:val="both"/>
        <w:rPr>
          <w:rFonts w:ascii="Arial" w:eastAsia="Arial" w:hAnsi="Arial" w:cs="Arial"/>
          <w:bCs/>
          <w:sz w:val="22"/>
          <w:szCs w:val="22"/>
        </w:rPr>
      </w:pPr>
    </w:p>
    <w:p w14:paraId="4DC0C9D9" w14:textId="5D7B80FA" w:rsidR="00411D4B" w:rsidRPr="00B34D5B" w:rsidRDefault="00BC556E" w:rsidP="00411D4B">
      <w:pPr>
        <w:jc w:val="both"/>
        <w:rPr>
          <w:rFonts w:ascii="Arial" w:eastAsia="Arial" w:hAnsi="Arial" w:cs="Arial"/>
          <w:bCs/>
          <w:sz w:val="22"/>
          <w:szCs w:val="22"/>
        </w:rPr>
      </w:pPr>
      <w:r>
        <w:rPr>
          <w:rFonts w:ascii="Arial" w:eastAsia="Arial" w:hAnsi="Arial" w:cs="Arial"/>
          <w:bCs/>
          <w:sz w:val="22"/>
          <w:szCs w:val="22"/>
        </w:rPr>
        <w:t>De acuerdo con</w:t>
      </w:r>
      <w:r w:rsidR="00411D4B">
        <w:rPr>
          <w:rFonts w:ascii="Arial" w:eastAsia="Arial" w:hAnsi="Arial" w:cs="Arial"/>
          <w:bCs/>
          <w:sz w:val="22"/>
          <w:szCs w:val="22"/>
        </w:rPr>
        <w:t xml:space="preserve"> lo anterior, la UPME</w:t>
      </w:r>
      <w:r>
        <w:rPr>
          <w:rFonts w:ascii="Arial" w:eastAsia="Arial" w:hAnsi="Arial" w:cs="Arial"/>
          <w:bCs/>
          <w:sz w:val="22"/>
          <w:szCs w:val="22"/>
        </w:rPr>
        <w:t>,</w:t>
      </w:r>
      <w:r w:rsidR="00B34D5B">
        <w:rPr>
          <w:rFonts w:ascii="Arial" w:eastAsia="Arial" w:hAnsi="Arial" w:cs="Arial"/>
          <w:bCs/>
          <w:sz w:val="22"/>
          <w:szCs w:val="22"/>
        </w:rPr>
        <w:t xml:space="preserve"> en el marco de las competencias otorgadas en el Decreto</w:t>
      </w:r>
      <w:r w:rsidR="00B34D5B" w:rsidRPr="00B34D5B">
        <w:rPr>
          <w:rFonts w:ascii="Arial" w:eastAsia="Arial" w:hAnsi="Arial" w:cs="Arial"/>
          <w:bCs/>
          <w:sz w:val="22"/>
          <w:szCs w:val="22"/>
          <w:lang w:val="es-CO"/>
        </w:rPr>
        <w:t xml:space="preserve"> Ley 1258 de 2013</w:t>
      </w:r>
      <w:r w:rsidR="00D41285">
        <w:rPr>
          <w:rFonts w:ascii="Arial" w:eastAsia="Arial" w:hAnsi="Arial" w:cs="Arial"/>
          <w:bCs/>
          <w:sz w:val="22"/>
          <w:szCs w:val="22"/>
          <w:lang w:val="es-CO"/>
        </w:rPr>
        <w:t xml:space="preserve">y </w:t>
      </w:r>
      <w:r w:rsidR="00D41285" w:rsidRPr="00B34D5B">
        <w:rPr>
          <w:rFonts w:ascii="Arial" w:eastAsia="Arial" w:hAnsi="Arial" w:cs="Arial"/>
          <w:bCs/>
          <w:sz w:val="22"/>
          <w:szCs w:val="22"/>
          <w:lang w:val="es-CO"/>
        </w:rPr>
        <w:t>el</w:t>
      </w:r>
      <w:r w:rsidR="00B34D5B" w:rsidRPr="002C3819">
        <w:rPr>
          <w:rFonts w:ascii="Arial" w:eastAsia="Arial" w:hAnsi="Arial" w:cs="Arial"/>
          <w:bCs/>
          <w:sz w:val="22"/>
          <w:szCs w:val="22"/>
          <w:lang w:val="es-CO"/>
        </w:rPr>
        <w:t xml:space="preserve"> Decreto 2345 de 2015</w:t>
      </w:r>
      <w:r w:rsidR="00D41285">
        <w:rPr>
          <w:rFonts w:ascii="Arial" w:eastAsia="Arial" w:hAnsi="Arial" w:cs="Arial"/>
          <w:bCs/>
          <w:sz w:val="22"/>
          <w:szCs w:val="22"/>
          <w:lang w:val="es-CO"/>
        </w:rPr>
        <w:t xml:space="preserve">, </w:t>
      </w:r>
      <w:r w:rsidR="00B34D5B">
        <w:rPr>
          <w:rFonts w:ascii="Arial" w:eastAsia="Arial" w:hAnsi="Arial" w:cs="Arial"/>
          <w:bCs/>
          <w:sz w:val="22"/>
          <w:szCs w:val="22"/>
        </w:rPr>
        <w:t xml:space="preserve">y en atención a las necesidades identificadas en las dinámicas del mercado, </w:t>
      </w:r>
      <w:r w:rsidR="00411D4B">
        <w:rPr>
          <w:rFonts w:ascii="Arial" w:eastAsia="Arial" w:hAnsi="Arial" w:cs="Arial"/>
          <w:bCs/>
          <w:sz w:val="22"/>
          <w:szCs w:val="22"/>
        </w:rPr>
        <w:t>procede</w:t>
      </w:r>
      <w:r w:rsidR="00B34D5B">
        <w:rPr>
          <w:rFonts w:ascii="Arial" w:eastAsia="Arial" w:hAnsi="Arial" w:cs="Arial"/>
          <w:bCs/>
          <w:sz w:val="22"/>
          <w:szCs w:val="22"/>
        </w:rPr>
        <w:t>rá</w:t>
      </w:r>
      <w:r w:rsidR="00411D4B">
        <w:rPr>
          <w:rFonts w:ascii="Arial" w:eastAsia="Arial" w:hAnsi="Arial" w:cs="Arial"/>
          <w:bCs/>
          <w:sz w:val="22"/>
          <w:szCs w:val="22"/>
        </w:rPr>
        <w:t xml:space="preserve"> a ampliar la información </w:t>
      </w:r>
      <w:r w:rsidR="00411D4B" w:rsidRPr="00411D4B">
        <w:rPr>
          <w:rFonts w:ascii="Arial" w:eastAsia="Arial" w:hAnsi="Arial" w:cs="Arial"/>
          <w:bCs/>
          <w:sz w:val="22"/>
          <w:szCs w:val="22"/>
          <w:lang w:val="es-CO"/>
        </w:rPr>
        <w:t xml:space="preserve">respecto de los Costos de Racionamiento de Gas Natural </w:t>
      </w:r>
      <w:r w:rsidR="00411D4B">
        <w:rPr>
          <w:rFonts w:ascii="Arial" w:eastAsia="Arial" w:hAnsi="Arial" w:cs="Arial"/>
          <w:bCs/>
          <w:sz w:val="22"/>
          <w:szCs w:val="22"/>
          <w:lang w:val="es-CO"/>
        </w:rPr>
        <w:t xml:space="preserve">desagregados de manera regional, en los términos de este documento. </w:t>
      </w:r>
    </w:p>
    <w:p w14:paraId="780C5FEC" w14:textId="77777777" w:rsidR="00411D4B" w:rsidRDefault="00411D4B" w:rsidP="00BC556E">
      <w:pPr>
        <w:pageBreakBefore/>
        <w:jc w:val="both"/>
        <w:rPr>
          <w:rFonts w:ascii="Arial" w:eastAsia="Arial" w:hAnsi="Arial" w:cs="Arial"/>
          <w:bCs/>
          <w:sz w:val="22"/>
          <w:szCs w:val="22"/>
          <w:lang w:val="es-CO"/>
        </w:rPr>
      </w:pPr>
    </w:p>
    <w:p w14:paraId="4D2B9425" w14:textId="77777777" w:rsidR="00B34D5B" w:rsidRDefault="00B34D5B" w:rsidP="00411D4B">
      <w:pPr>
        <w:jc w:val="both"/>
        <w:rPr>
          <w:rFonts w:ascii="Arial" w:eastAsia="Arial" w:hAnsi="Arial" w:cs="Arial"/>
          <w:bCs/>
          <w:sz w:val="22"/>
          <w:szCs w:val="22"/>
          <w:lang w:val="es-CO"/>
        </w:rPr>
      </w:pPr>
    </w:p>
    <w:p w14:paraId="5BC3BAE1" w14:textId="38284A40" w:rsidR="00B34D5B" w:rsidRDefault="00B34D5B" w:rsidP="00B34D5B">
      <w:pPr>
        <w:jc w:val="center"/>
        <w:rPr>
          <w:rFonts w:ascii="Arial" w:eastAsia="Arial" w:hAnsi="Arial" w:cs="Arial"/>
          <w:b/>
          <w:bCs/>
          <w:sz w:val="22"/>
          <w:szCs w:val="22"/>
        </w:rPr>
      </w:pPr>
      <w:r w:rsidRPr="00B34D5B">
        <w:rPr>
          <w:rFonts w:ascii="Arial" w:eastAsia="Arial" w:hAnsi="Arial" w:cs="Arial"/>
          <w:b/>
          <w:sz w:val="22"/>
          <w:szCs w:val="22"/>
          <w:lang w:val="es-CO"/>
        </w:rPr>
        <w:t>AMPLIACIÓN</w:t>
      </w:r>
      <w:r>
        <w:rPr>
          <w:rFonts w:ascii="Arial" w:eastAsia="Arial" w:hAnsi="Arial" w:cs="Arial"/>
          <w:bCs/>
          <w:sz w:val="22"/>
          <w:szCs w:val="22"/>
          <w:lang w:val="es-CO"/>
        </w:rPr>
        <w:t xml:space="preserve"> </w:t>
      </w:r>
      <w:r w:rsidRPr="00B34D5B">
        <w:rPr>
          <w:rFonts w:ascii="Arial" w:eastAsia="Arial" w:hAnsi="Arial" w:cs="Arial"/>
          <w:b/>
          <w:bCs/>
          <w:sz w:val="22"/>
          <w:szCs w:val="22"/>
        </w:rPr>
        <w:t>RESUMEN COSTOS DE RACIONAMIENTO POR REGIÓN Y SECTOR, A DICIEMBRE DE 2019</w:t>
      </w:r>
    </w:p>
    <w:p w14:paraId="5435C009" w14:textId="77777777" w:rsidR="00B34D5B" w:rsidRDefault="00B34D5B" w:rsidP="00B34D5B">
      <w:pPr>
        <w:jc w:val="center"/>
        <w:rPr>
          <w:rFonts w:ascii="Arial" w:eastAsia="Arial" w:hAnsi="Arial" w:cs="Arial"/>
          <w:b/>
          <w:bCs/>
          <w:sz w:val="22"/>
          <w:szCs w:val="22"/>
        </w:rPr>
      </w:pPr>
    </w:p>
    <w:p w14:paraId="2C0056C3" w14:textId="42B14A42" w:rsidR="00D41285" w:rsidRPr="00D41285" w:rsidRDefault="00D41285" w:rsidP="00D41285">
      <w:pPr>
        <w:jc w:val="both"/>
        <w:rPr>
          <w:rFonts w:ascii="Arial" w:eastAsia="Arial" w:hAnsi="Arial" w:cs="Arial"/>
          <w:sz w:val="22"/>
          <w:szCs w:val="22"/>
        </w:rPr>
      </w:pPr>
      <w:r w:rsidRPr="00D41285">
        <w:rPr>
          <w:rFonts w:ascii="Arial" w:eastAsia="Arial" w:hAnsi="Arial" w:cs="Arial"/>
          <w:sz w:val="22"/>
          <w:szCs w:val="22"/>
        </w:rPr>
        <w:t xml:space="preserve">El documento final publicado del ETPAGN 2019-2028 incluyó solamente el agregado nacional, </w:t>
      </w:r>
      <w:r>
        <w:rPr>
          <w:rFonts w:ascii="Arial" w:eastAsia="Arial" w:hAnsi="Arial" w:cs="Arial"/>
          <w:sz w:val="22"/>
          <w:szCs w:val="22"/>
        </w:rPr>
        <w:t xml:space="preserve">sin embargo, es importante tener en cuenta los datos que refleja el desagregado regional, en los costos de racionamiento, </w:t>
      </w:r>
      <w:r w:rsidR="00BC556E">
        <w:rPr>
          <w:rFonts w:ascii="Arial" w:eastAsia="Arial" w:hAnsi="Arial" w:cs="Arial"/>
          <w:sz w:val="22"/>
          <w:szCs w:val="22"/>
        </w:rPr>
        <w:t xml:space="preserve">según se observa </w:t>
      </w:r>
      <w:r>
        <w:rPr>
          <w:rFonts w:ascii="Arial" w:eastAsia="Arial" w:hAnsi="Arial" w:cs="Arial"/>
          <w:sz w:val="22"/>
          <w:szCs w:val="22"/>
        </w:rPr>
        <w:t xml:space="preserve">en la </w:t>
      </w:r>
      <w:r w:rsidR="00BC556E">
        <w:rPr>
          <w:rFonts w:ascii="Arial" w:eastAsia="Arial" w:hAnsi="Arial" w:cs="Arial"/>
          <w:sz w:val="22"/>
          <w:szCs w:val="22"/>
        </w:rPr>
        <w:t>G</w:t>
      </w:r>
      <w:r>
        <w:rPr>
          <w:rFonts w:ascii="Arial" w:eastAsia="Arial" w:hAnsi="Arial" w:cs="Arial"/>
          <w:sz w:val="22"/>
          <w:szCs w:val="22"/>
        </w:rPr>
        <w:t xml:space="preserve">ráfica No. 1. </w:t>
      </w:r>
    </w:p>
    <w:p w14:paraId="3B6092DC" w14:textId="77777777" w:rsidR="00D41285" w:rsidRDefault="00D41285" w:rsidP="00D41285">
      <w:pPr>
        <w:rPr>
          <w:rFonts w:ascii="Arial" w:eastAsia="Arial" w:hAnsi="Arial" w:cs="Arial"/>
          <w:b/>
          <w:bCs/>
          <w:sz w:val="22"/>
          <w:szCs w:val="22"/>
        </w:rPr>
      </w:pPr>
    </w:p>
    <w:p w14:paraId="16F05428" w14:textId="77777777" w:rsidR="00B34D5B" w:rsidRPr="00B34D5B" w:rsidRDefault="00B34D5B" w:rsidP="00B34D5B">
      <w:pPr>
        <w:jc w:val="center"/>
        <w:rPr>
          <w:rFonts w:ascii="Arial" w:eastAsia="Arial" w:hAnsi="Arial" w:cs="Arial"/>
          <w:bCs/>
          <w:sz w:val="22"/>
          <w:szCs w:val="22"/>
          <w:lang w:val="es-CO"/>
        </w:rPr>
      </w:pPr>
    </w:p>
    <w:p w14:paraId="37D7B356" w14:textId="1679DD16" w:rsidR="00B34D5B" w:rsidRDefault="00B34D5B" w:rsidP="00B34D5B">
      <w:pPr>
        <w:jc w:val="center"/>
        <w:rPr>
          <w:rFonts w:ascii="Arial" w:eastAsia="Arial" w:hAnsi="Arial" w:cs="Arial"/>
          <w:bCs/>
          <w:sz w:val="22"/>
          <w:szCs w:val="22"/>
          <w:lang w:val="es-CO"/>
        </w:rPr>
      </w:pPr>
      <w:r>
        <w:rPr>
          <w:noProof/>
        </w:rPr>
        <w:drawing>
          <wp:inline distT="0" distB="0" distL="0" distR="0" wp14:anchorId="5C234312" wp14:editId="5319BEE1">
            <wp:extent cx="4441371" cy="2387526"/>
            <wp:effectExtent l="0" t="0" r="0" b="0"/>
            <wp:docPr id="37219209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192095" name=""/>
                    <pic:cNvPicPr/>
                  </pic:nvPicPr>
                  <pic:blipFill>
                    <a:blip r:embed="rId13"/>
                    <a:stretch>
                      <a:fillRect/>
                    </a:stretch>
                  </pic:blipFill>
                  <pic:spPr>
                    <a:xfrm>
                      <a:off x="0" y="0"/>
                      <a:ext cx="4454478" cy="2394572"/>
                    </a:xfrm>
                    <a:prstGeom prst="rect">
                      <a:avLst/>
                    </a:prstGeom>
                  </pic:spPr>
                </pic:pic>
              </a:graphicData>
            </a:graphic>
          </wp:inline>
        </w:drawing>
      </w:r>
    </w:p>
    <w:p w14:paraId="474C6A94" w14:textId="77777777" w:rsidR="00B34D5B" w:rsidRPr="001C51A2" w:rsidRDefault="00B34D5B" w:rsidP="001C51A2">
      <w:pPr>
        <w:jc w:val="center"/>
        <w:rPr>
          <w:rFonts w:ascii="Arial" w:eastAsia="Arial" w:hAnsi="Arial" w:cs="Arial"/>
          <w:bCs/>
          <w:sz w:val="16"/>
          <w:szCs w:val="16"/>
          <w:lang w:val="es-CO"/>
        </w:rPr>
      </w:pPr>
    </w:p>
    <w:p w14:paraId="24F7F32E" w14:textId="1753DF0F" w:rsidR="00B34D5B" w:rsidRPr="001C51A2" w:rsidRDefault="001C51A2" w:rsidP="001C51A2">
      <w:pPr>
        <w:jc w:val="center"/>
        <w:rPr>
          <w:rFonts w:ascii="Arial" w:eastAsia="Arial" w:hAnsi="Arial" w:cs="Arial"/>
          <w:bCs/>
          <w:i/>
          <w:iCs/>
          <w:sz w:val="16"/>
          <w:szCs w:val="16"/>
          <w:lang w:val="es-CO"/>
        </w:rPr>
      </w:pPr>
      <w:bookmarkStart w:id="3" w:name="_Hlk145001401"/>
      <w:r w:rsidRPr="001C51A2">
        <w:rPr>
          <w:rFonts w:ascii="Arial" w:eastAsia="Arial" w:hAnsi="Arial" w:cs="Arial"/>
          <w:bCs/>
          <w:i/>
          <w:iCs/>
          <w:sz w:val="16"/>
          <w:szCs w:val="16"/>
          <w:lang w:val="es-CO"/>
        </w:rPr>
        <w:t>Grafica No. 1</w:t>
      </w:r>
      <w:r w:rsidR="00D41285">
        <w:rPr>
          <w:rFonts w:ascii="Arial" w:eastAsia="Arial" w:hAnsi="Arial" w:cs="Arial"/>
          <w:bCs/>
          <w:i/>
          <w:iCs/>
          <w:sz w:val="16"/>
          <w:szCs w:val="16"/>
          <w:lang w:val="es-CO"/>
        </w:rPr>
        <w:t xml:space="preserve">. Costos de racionamiento desagregados por sector de consumo y región. </w:t>
      </w:r>
    </w:p>
    <w:bookmarkEnd w:id="3"/>
    <w:p w14:paraId="0CA815A2" w14:textId="77777777" w:rsidR="00B34D5B" w:rsidRDefault="00B34D5B" w:rsidP="00D41285">
      <w:pPr>
        <w:rPr>
          <w:rFonts w:ascii="Arial" w:eastAsia="Arial" w:hAnsi="Arial" w:cs="Arial"/>
          <w:bCs/>
          <w:sz w:val="22"/>
          <w:szCs w:val="22"/>
          <w:lang w:val="es-CO"/>
        </w:rPr>
      </w:pPr>
    </w:p>
    <w:p w14:paraId="49D90085" w14:textId="77777777" w:rsidR="00BC556E" w:rsidRDefault="000033CC" w:rsidP="00B34D5B">
      <w:pPr>
        <w:jc w:val="both"/>
        <w:rPr>
          <w:rFonts w:ascii="Arial" w:eastAsia="Arial" w:hAnsi="Arial" w:cs="Arial"/>
          <w:bCs/>
          <w:sz w:val="22"/>
          <w:szCs w:val="22"/>
          <w:lang w:val="es-CO"/>
        </w:rPr>
      </w:pPr>
      <w:r>
        <w:rPr>
          <w:rFonts w:ascii="Arial" w:eastAsia="Arial" w:hAnsi="Arial" w:cs="Arial"/>
          <w:bCs/>
          <w:sz w:val="22"/>
          <w:szCs w:val="22"/>
          <w:lang w:val="es-CO"/>
        </w:rPr>
        <w:t>Se precisa que e</w:t>
      </w:r>
      <w:r w:rsidR="00B34D5B" w:rsidRPr="00B34D5B">
        <w:rPr>
          <w:rFonts w:ascii="Arial" w:eastAsia="Arial" w:hAnsi="Arial" w:cs="Arial"/>
          <w:bCs/>
          <w:sz w:val="22"/>
          <w:szCs w:val="22"/>
          <w:lang w:val="es-CO"/>
        </w:rPr>
        <w:t>l costo de racionamiento agregado nacional se obtiene ponderando por demanda volumétrica a partir del análisis de flujos en el ETPAGN, con el objetivo de estimar el costo representativo de todas las regiones en cada sector.</w:t>
      </w:r>
    </w:p>
    <w:p w14:paraId="12E569AC" w14:textId="77777777" w:rsidR="00BC556E" w:rsidRDefault="00BC556E" w:rsidP="00B34D5B">
      <w:pPr>
        <w:jc w:val="both"/>
        <w:rPr>
          <w:rFonts w:ascii="Arial" w:eastAsia="Arial" w:hAnsi="Arial" w:cs="Arial"/>
          <w:bCs/>
          <w:sz w:val="22"/>
          <w:szCs w:val="22"/>
          <w:lang w:val="es-CO"/>
        </w:rPr>
      </w:pPr>
    </w:p>
    <w:p w14:paraId="004A2E75" w14:textId="2786D1ED" w:rsidR="00B34D5B" w:rsidRPr="00B34D5B" w:rsidRDefault="000033CC" w:rsidP="00B34D5B">
      <w:pPr>
        <w:jc w:val="both"/>
        <w:rPr>
          <w:rFonts w:ascii="Arial" w:eastAsia="Arial" w:hAnsi="Arial" w:cs="Arial"/>
          <w:bCs/>
          <w:sz w:val="22"/>
          <w:szCs w:val="22"/>
          <w:lang w:val="es-CO"/>
        </w:rPr>
      </w:pPr>
      <w:r>
        <w:rPr>
          <w:rFonts w:ascii="Arial" w:eastAsia="Arial" w:hAnsi="Arial" w:cs="Arial"/>
          <w:bCs/>
          <w:sz w:val="22"/>
          <w:szCs w:val="22"/>
          <w:lang w:val="es-CO"/>
        </w:rPr>
        <w:t xml:space="preserve">Ahora bien, en el documento anexo “Costos de racionamiento </w:t>
      </w:r>
      <w:r w:rsidRPr="00B34D5B">
        <w:rPr>
          <w:rFonts w:ascii="Arial" w:eastAsia="Arial" w:hAnsi="Arial" w:cs="Arial"/>
          <w:bCs/>
          <w:sz w:val="22"/>
          <w:szCs w:val="22"/>
          <w:lang w:val="es-CO"/>
        </w:rPr>
        <w:t>ETPAGN</w:t>
      </w:r>
      <w:r>
        <w:rPr>
          <w:rFonts w:ascii="Arial" w:eastAsia="Arial" w:hAnsi="Arial" w:cs="Arial"/>
          <w:bCs/>
          <w:sz w:val="22"/>
          <w:szCs w:val="22"/>
          <w:lang w:val="es-CO"/>
        </w:rPr>
        <w:t xml:space="preserve"> 2019-2028”</w:t>
      </w:r>
      <w:r w:rsidR="00B34D5B" w:rsidRPr="00B34D5B">
        <w:rPr>
          <w:rFonts w:ascii="Arial" w:eastAsia="Arial" w:hAnsi="Arial" w:cs="Arial"/>
          <w:bCs/>
          <w:sz w:val="22"/>
          <w:szCs w:val="22"/>
          <w:lang w:val="es-CO"/>
        </w:rPr>
        <w:t xml:space="preserve">, </w:t>
      </w:r>
      <w:r w:rsidR="00BC556E">
        <w:rPr>
          <w:rFonts w:ascii="Arial" w:eastAsia="Arial" w:hAnsi="Arial" w:cs="Arial"/>
          <w:bCs/>
          <w:sz w:val="22"/>
          <w:szCs w:val="22"/>
          <w:lang w:val="es-CO"/>
        </w:rPr>
        <w:t xml:space="preserve">se </w:t>
      </w:r>
      <w:r>
        <w:rPr>
          <w:rFonts w:ascii="Arial" w:eastAsia="Arial" w:hAnsi="Arial" w:cs="Arial"/>
          <w:bCs/>
          <w:sz w:val="22"/>
          <w:szCs w:val="22"/>
          <w:lang w:val="es-CO"/>
        </w:rPr>
        <w:t>muestra de manera detallada el cálculo para desagregar los costos de racionamiento desde el agregado nacional hasta el desagregado a nivel sectorial para cada región. En este anexo</w:t>
      </w:r>
      <w:r w:rsidR="00BC556E">
        <w:rPr>
          <w:rFonts w:ascii="Arial" w:eastAsia="Arial" w:hAnsi="Arial" w:cs="Arial"/>
          <w:bCs/>
          <w:sz w:val="22"/>
          <w:szCs w:val="22"/>
          <w:lang w:val="es-CO"/>
        </w:rPr>
        <w:t>:</w:t>
      </w:r>
      <w:r>
        <w:rPr>
          <w:rFonts w:ascii="Arial" w:eastAsia="Arial" w:hAnsi="Arial" w:cs="Arial"/>
          <w:bCs/>
          <w:sz w:val="22"/>
          <w:szCs w:val="22"/>
          <w:lang w:val="es-CO"/>
        </w:rPr>
        <w:t xml:space="preserve"> en la </w:t>
      </w:r>
      <w:r w:rsidR="00BC556E">
        <w:rPr>
          <w:rFonts w:ascii="Arial" w:eastAsia="Arial" w:hAnsi="Arial" w:cs="Arial"/>
          <w:bCs/>
          <w:sz w:val="22"/>
          <w:szCs w:val="22"/>
          <w:lang w:val="es-CO"/>
        </w:rPr>
        <w:t>hoja de cálculo</w:t>
      </w:r>
      <w:r>
        <w:rPr>
          <w:rFonts w:ascii="Arial" w:eastAsia="Arial" w:hAnsi="Arial" w:cs="Arial"/>
          <w:bCs/>
          <w:sz w:val="22"/>
          <w:szCs w:val="22"/>
          <w:lang w:val="es-CO"/>
        </w:rPr>
        <w:t xml:space="preserve"> “Demanda”, se </w:t>
      </w:r>
      <w:r w:rsidR="00B34D5B" w:rsidRPr="00B34D5B">
        <w:rPr>
          <w:rFonts w:ascii="Arial" w:eastAsia="Arial" w:hAnsi="Arial" w:cs="Arial"/>
          <w:bCs/>
          <w:sz w:val="22"/>
          <w:szCs w:val="22"/>
          <w:lang w:val="es-CO"/>
        </w:rPr>
        <w:t>presenta la demanda volumétrica obtenida del análisis de flujo utilizado para el ETPAGN 2019-2028</w:t>
      </w:r>
      <w:r>
        <w:rPr>
          <w:rFonts w:ascii="Arial" w:eastAsia="Arial" w:hAnsi="Arial" w:cs="Arial"/>
          <w:bCs/>
          <w:sz w:val="22"/>
          <w:szCs w:val="22"/>
          <w:lang w:val="es-CO"/>
        </w:rPr>
        <w:t xml:space="preserve">; en la </w:t>
      </w:r>
      <w:r w:rsidR="00BC556E">
        <w:rPr>
          <w:rFonts w:ascii="Arial" w:eastAsia="Arial" w:hAnsi="Arial" w:cs="Arial"/>
          <w:bCs/>
          <w:sz w:val="22"/>
          <w:szCs w:val="22"/>
          <w:lang w:val="es-CO"/>
        </w:rPr>
        <w:t>hoja de cálculo</w:t>
      </w:r>
      <w:r w:rsidR="00B34D5B" w:rsidRPr="00B34D5B">
        <w:rPr>
          <w:rFonts w:ascii="Arial" w:eastAsia="Arial" w:hAnsi="Arial" w:cs="Arial"/>
          <w:bCs/>
          <w:sz w:val="22"/>
          <w:szCs w:val="22"/>
          <w:lang w:val="es-CO"/>
        </w:rPr>
        <w:t xml:space="preserve"> "CR x Día" se presentan los costos diarios obtenidos de multiplicar los costos de racionamiento unitarios actualizados a 2019 por la demanda volumétrica proyectada</w:t>
      </w:r>
      <w:r>
        <w:rPr>
          <w:rFonts w:ascii="Arial" w:eastAsia="Arial" w:hAnsi="Arial" w:cs="Arial"/>
          <w:bCs/>
          <w:sz w:val="22"/>
          <w:szCs w:val="22"/>
          <w:lang w:val="es-CO"/>
        </w:rPr>
        <w:t>; f</w:t>
      </w:r>
      <w:r w:rsidR="00B34D5B" w:rsidRPr="00B34D5B">
        <w:rPr>
          <w:rFonts w:ascii="Arial" w:eastAsia="Arial" w:hAnsi="Arial" w:cs="Arial"/>
          <w:bCs/>
          <w:sz w:val="22"/>
          <w:szCs w:val="22"/>
          <w:lang w:val="es-CO"/>
        </w:rPr>
        <w:t xml:space="preserve">inalmente, en la </w:t>
      </w:r>
      <w:r w:rsidR="00BC556E">
        <w:rPr>
          <w:rFonts w:ascii="Arial" w:eastAsia="Arial" w:hAnsi="Arial" w:cs="Arial"/>
          <w:bCs/>
          <w:sz w:val="22"/>
          <w:szCs w:val="22"/>
          <w:lang w:val="es-CO"/>
        </w:rPr>
        <w:t>hoja de cálculo</w:t>
      </w:r>
      <w:r w:rsidR="00B34D5B" w:rsidRPr="00B34D5B">
        <w:rPr>
          <w:rFonts w:ascii="Arial" w:eastAsia="Arial" w:hAnsi="Arial" w:cs="Arial"/>
          <w:bCs/>
          <w:sz w:val="22"/>
          <w:szCs w:val="22"/>
          <w:lang w:val="es-CO"/>
        </w:rPr>
        <w:t xml:space="preserve"> "CR Regional" se discrimina el costo de racionamiento por región y sector, tomando el cociente del costo de racionamiento diario entre la demanda.</w:t>
      </w:r>
    </w:p>
    <w:p w14:paraId="33E098F6" w14:textId="12FC2AB4" w:rsidR="000033CC" w:rsidRDefault="000033CC">
      <w:pPr>
        <w:rPr>
          <w:rFonts w:ascii="Arial" w:eastAsia="Arial" w:hAnsi="Arial" w:cs="Arial"/>
          <w:b/>
          <w:sz w:val="22"/>
          <w:szCs w:val="22"/>
        </w:rPr>
      </w:pPr>
    </w:p>
    <w:sectPr w:rsidR="000033CC">
      <w:headerReference w:type="even" r:id="rId14"/>
      <w:headerReference w:type="default" r:id="rId15"/>
      <w:footerReference w:type="even" r:id="rId16"/>
      <w:footerReference w:type="default" r:id="rId17"/>
      <w:headerReference w:type="first" r:id="rId18"/>
      <w:footerReference w:type="first" r:id="rId19"/>
      <w:pgSz w:w="12240" w:h="15840"/>
      <w:pgMar w:top="1417" w:right="1701" w:bottom="1417" w:left="1701" w:header="426" w:footer="22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87947" w14:textId="77777777" w:rsidR="00AA70CC" w:rsidRDefault="00AA70CC">
      <w:r>
        <w:separator/>
      </w:r>
    </w:p>
  </w:endnote>
  <w:endnote w:type="continuationSeparator" w:id="0">
    <w:p w14:paraId="210FF6A1" w14:textId="77777777" w:rsidR="00AA70CC" w:rsidRDefault="00AA7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de3of9">
    <w:altName w:val="Cambria"/>
    <w:charset w:val="00"/>
    <w:family w:val="auto"/>
    <w:pitch w:val="variable"/>
    <w:sig w:usb0="00000003" w:usb1="00000000" w:usb2="00000000" w:usb3="00000000" w:csb0="00000001" w:csb1="00000000"/>
  </w:font>
  <w:font w:name="Liberation Sans">
    <w:altName w:val="Arial"/>
    <w:charset w:val="00"/>
    <w:family w:val="auto"/>
    <w:pitch w:val="default"/>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2F210" w14:textId="77777777" w:rsidR="00CF6C56" w:rsidRDefault="00CF6C56">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03595" w14:textId="77777777" w:rsidR="00CF6C56" w:rsidRDefault="00000000">
    <w:pPr>
      <w:pBdr>
        <w:bottom w:val="single" w:sz="12" w:space="1" w:color="000000"/>
      </w:pBdr>
      <w:rPr>
        <w:rFonts w:ascii="Arial" w:eastAsia="Arial" w:hAnsi="Arial" w:cs="Arial"/>
        <w:b/>
        <w:color w:val="000000"/>
        <w:sz w:val="14"/>
        <w:szCs w:val="14"/>
      </w:rPr>
    </w:pPr>
    <w:r>
      <w:rPr>
        <w:rFonts w:ascii="Arial" w:eastAsia="Arial" w:hAnsi="Arial" w:cs="Arial"/>
        <w:b/>
        <w:sz w:val="14"/>
        <w:szCs w:val="14"/>
      </w:rPr>
      <w:t>F-DO-03 – V2</w:t>
    </w:r>
    <w:r>
      <w:rPr>
        <w:rFonts w:ascii="Arial" w:eastAsia="Arial" w:hAnsi="Arial" w:cs="Arial"/>
        <w:b/>
        <w:sz w:val="14"/>
        <w:szCs w:val="14"/>
      </w:rPr>
      <w:tab/>
    </w:r>
    <w:r>
      <w:rPr>
        <w:rFonts w:ascii="Arial" w:eastAsia="Arial" w:hAnsi="Arial" w:cs="Arial"/>
        <w:b/>
        <w:color w:val="000000"/>
        <w:sz w:val="14"/>
        <w:szCs w:val="14"/>
      </w:rPr>
      <w:t xml:space="preserve">                                                                                                                                                                            2022/08/12</w:t>
    </w:r>
  </w:p>
  <w:p w14:paraId="04345D70" w14:textId="77777777" w:rsidR="00CF6C56" w:rsidRDefault="00000000">
    <w:pPr>
      <w:pBdr>
        <w:bottom w:val="single" w:sz="12" w:space="1" w:color="000000"/>
      </w:pBdr>
      <w:jc w:val="both"/>
      <w:rPr>
        <w:rFonts w:ascii="Arial" w:eastAsia="Arial" w:hAnsi="Arial" w:cs="Arial"/>
        <w:b/>
        <w:sz w:val="14"/>
        <w:szCs w:val="14"/>
      </w:rPr>
    </w:pPr>
    <w:r>
      <w:rPr>
        <w:rFonts w:ascii="Arial" w:eastAsia="Arial" w:hAnsi="Arial" w:cs="Arial"/>
        <w:b/>
        <w:i/>
        <w:color w:val="7F7F7F"/>
        <w:sz w:val="10"/>
        <w:szCs w:val="10"/>
      </w:rPr>
      <w:t xml:space="preserve">Recuerde: </w:t>
    </w:r>
    <w:r>
      <w:rPr>
        <w:rFonts w:ascii="Arial" w:eastAsia="Arial" w:hAnsi="Arial" w:cs="Arial"/>
        <w:i/>
        <w:color w:val="7F7F7F"/>
        <w:sz w:val="10"/>
        <w:szCs w:val="10"/>
      </w:rPr>
      <w:t xml:space="preserve">Si este documento se encuentra impreso no se garantiza su vigencia, por lo tanto, se considera </w:t>
    </w:r>
    <w:r>
      <w:rPr>
        <w:rFonts w:ascii="Arial" w:eastAsia="Arial" w:hAnsi="Arial" w:cs="Arial"/>
        <w:b/>
        <w:i/>
        <w:color w:val="000000"/>
        <w:sz w:val="10"/>
        <w:szCs w:val="10"/>
      </w:rPr>
      <w:t>“</w:t>
    </w:r>
    <w:r>
      <w:rPr>
        <w:rFonts w:ascii="Arial" w:eastAsia="Arial" w:hAnsi="Arial" w:cs="Arial"/>
        <w:b/>
        <w:i/>
        <w:color w:val="000000"/>
        <w:sz w:val="10"/>
        <w:szCs w:val="10"/>
        <w:u w:val="single"/>
      </w:rPr>
      <w:t>Copia No Controlada”</w:t>
    </w:r>
    <w:r>
      <w:rPr>
        <w:rFonts w:ascii="Arial" w:eastAsia="Arial" w:hAnsi="Arial" w:cs="Arial"/>
        <w:b/>
        <w:i/>
        <w:color w:val="000000"/>
        <w:sz w:val="10"/>
        <w:szCs w:val="10"/>
      </w:rPr>
      <w:t>.</w:t>
    </w:r>
    <w:r>
      <w:rPr>
        <w:rFonts w:ascii="Arial" w:eastAsia="Arial" w:hAnsi="Arial" w:cs="Arial"/>
        <w:i/>
        <w:color w:val="000000"/>
        <w:sz w:val="10"/>
        <w:szCs w:val="10"/>
      </w:rPr>
      <w:t xml:space="preserve"> </w:t>
    </w:r>
    <w:r>
      <w:rPr>
        <w:rFonts w:ascii="Arial" w:eastAsia="Arial" w:hAnsi="Arial" w:cs="Arial"/>
        <w:i/>
        <w:color w:val="7F7F7F"/>
        <w:sz w:val="10"/>
        <w:szCs w:val="10"/>
      </w:rPr>
      <w:t>La versión vigente se encuentra publicada en el Sistema de Gestión Único Estratégico de Mejoramiento - SIGUEME</w:t>
    </w:r>
    <w:r>
      <w:rPr>
        <w:rFonts w:ascii="Arial" w:eastAsia="Arial" w:hAnsi="Arial" w:cs="Arial"/>
        <w:color w:val="7F7F7F"/>
        <w:sz w:val="10"/>
        <w:szCs w:val="10"/>
      </w:rPr>
      <w:t>.</w:t>
    </w:r>
    <w:r>
      <w:rPr>
        <w:rFonts w:ascii="Arial" w:eastAsia="Arial" w:hAnsi="Arial" w:cs="Arial"/>
        <w:b/>
        <w:color w:val="262626"/>
        <w:sz w:val="14"/>
        <w:szCs w:val="14"/>
      </w:rPr>
      <w:t xml:space="preserve">                                                                                                          </w:t>
    </w:r>
    <w:r>
      <w:rPr>
        <w:noProof/>
      </w:rPr>
      <w:drawing>
        <wp:anchor distT="0" distB="0" distL="114300" distR="114300" simplePos="0" relativeHeight="251658240" behindDoc="0" locked="0" layoutInCell="1" hidden="0" allowOverlap="1" wp14:anchorId="67163ADA" wp14:editId="5ADCBC92">
          <wp:simplePos x="0" y="0"/>
          <wp:positionH relativeFrom="column">
            <wp:posOffset>2461260</wp:posOffset>
          </wp:positionH>
          <wp:positionV relativeFrom="paragraph">
            <wp:posOffset>0</wp:posOffset>
          </wp:positionV>
          <wp:extent cx="3169920" cy="504825"/>
          <wp:effectExtent l="0" t="0" r="0" b="0"/>
          <wp:wrapNone/>
          <wp:docPr id="1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3169920" cy="504825"/>
                  </a:xfrm>
                  <a:prstGeom prst="rect">
                    <a:avLst/>
                  </a:prstGeom>
                  <a:ln/>
                </pic:spPr>
              </pic:pic>
            </a:graphicData>
          </a:graphic>
        </wp:anchor>
      </w:drawing>
    </w:r>
  </w:p>
  <w:tbl>
    <w:tblPr>
      <w:tblStyle w:val="a1"/>
      <w:tblW w:w="3393" w:type="dxa"/>
      <w:tblInd w:w="-142" w:type="dxa"/>
      <w:tblBorders>
        <w:top w:val="nil"/>
        <w:left w:val="nil"/>
        <w:bottom w:val="nil"/>
        <w:right w:val="nil"/>
        <w:insideH w:val="nil"/>
        <w:insideV w:val="nil"/>
      </w:tblBorders>
      <w:tblLayout w:type="fixed"/>
      <w:tblLook w:val="0400" w:firstRow="0" w:lastRow="0" w:firstColumn="0" w:lastColumn="0" w:noHBand="0" w:noVBand="1"/>
    </w:tblPr>
    <w:tblGrid>
      <w:gridCol w:w="3393"/>
    </w:tblGrid>
    <w:tr w:rsidR="00CF6C56" w14:paraId="666E29A2" w14:textId="77777777">
      <w:trPr>
        <w:trHeight w:val="428"/>
      </w:trPr>
      <w:tc>
        <w:tcPr>
          <w:tcW w:w="3393" w:type="dxa"/>
          <w:shd w:val="clear" w:color="auto" w:fill="auto"/>
          <w:vAlign w:val="center"/>
        </w:tcPr>
        <w:p w14:paraId="67F15007" w14:textId="77777777" w:rsidR="00CF6C56" w:rsidRDefault="00CF6C56">
          <w:pPr>
            <w:rPr>
              <w:rFonts w:ascii="Arial" w:eastAsia="Arial" w:hAnsi="Arial" w:cs="Arial"/>
              <w:sz w:val="12"/>
              <w:szCs w:val="12"/>
            </w:rPr>
          </w:pPr>
        </w:p>
        <w:p w14:paraId="2F97FB2E" w14:textId="77777777" w:rsidR="00CF6C56" w:rsidRDefault="00000000">
          <w:pPr>
            <w:rPr>
              <w:rFonts w:ascii="Arial" w:eastAsia="Arial" w:hAnsi="Arial" w:cs="Arial"/>
              <w:sz w:val="12"/>
              <w:szCs w:val="12"/>
            </w:rPr>
          </w:pPr>
          <w:r>
            <w:rPr>
              <w:rFonts w:ascii="Arial" w:eastAsia="Arial" w:hAnsi="Arial" w:cs="Arial"/>
              <w:sz w:val="12"/>
              <w:szCs w:val="12"/>
            </w:rPr>
            <w:t>Av. Calle 26 # 69 D-91 Torre 1, Piso 9°</w:t>
          </w:r>
        </w:p>
        <w:p w14:paraId="748BD6FE" w14:textId="77777777" w:rsidR="00CF6C56" w:rsidRDefault="00000000">
          <w:pPr>
            <w:rPr>
              <w:rFonts w:ascii="Arial" w:eastAsia="Arial" w:hAnsi="Arial" w:cs="Arial"/>
              <w:sz w:val="12"/>
              <w:szCs w:val="12"/>
            </w:rPr>
          </w:pPr>
          <w:r>
            <w:rPr>
              <w:rFonts w:ascii="Arial" w:eastAsia="Arial" w:hAnsi="Arial" w:cs="Arial"/>
              <w:sz w:val="12"/>
              <w:szCs w:val="12"/>
            </w:rPr>
            <w:t>Bogotá D.C. Colombia</w:t>
          </w:r>
        </w:p>
        <w:p w14:paraId="33C3D2D3" w14:textId="77777777" w:rsidR="00CF6C56" w:rsidRDefault="00000000">
          <w:pPr>
            <w:rPr>
              <w:rFonts w:ascii="Arial" w:eastAsia="Arial" w:hAnsi="Arial" w:cs="Arial"/>
              <w:sz w:val="12"/>
              <w:szCs w:val="12"/>
            </w:rPr>
          </w:pPr>
          <w:r>
            <w:rPr>
              <w:rFonts w:ascii="Arial" w:eastAsia="Arial" w:hAnsi="Arial" w:cs="Arial"/>
              <w:sz w:val="12"/>
              <w:szCs w:val="12"/>
            </w:rPr>
            <w:t>PBX: +57 601 222 06 01</w:t>
          </w:r>
        </w:p>
        <w:p w14:paraId="7A7BA890" w14:textId="77777777" w:rsidR="00CF6C56" w:rsidRDefault="00000000">
          <w:pPr>
            <w:rPr>
              <w:rFonts w:ascii="Arial" w:eastAsia="Arial" w:hAnsi="Arial" w:cs="Arial"/>
              <w:sz w:val="12"/>
              <w:szCs w:val="12"/>
            </w:rPr>
          </w:pPr>
          <w:r>
            <w:rPr>
              <w:rFonts w:ascii="Arial" w:eastAsia="Arial" w:hAnsi="Arial" w:cs="Arial"/>
              <w:sz w:val="12"/>
              <w:szCs w:val="12"/>
            </w:rPr>
            <w:t>Línea Gratuita Nacional: 01 8000 91 17 29</w:t>
          </w:r>
        </w:p>
        <w:p w14:paraId="74FE9A30" w14:textId="77777777" w:rsidR="00CF6C56" w:rsidRDefault="00000000">
          <w:pPr>
            <w:ind w:firstLine="14"/>
          </w:pPr>
          <w:hyperlink r:id="rId2">
            <w:r>
              <w:rPr>
                <w:rFonts w:ascii="Arial" w:eastAsia="Arial" w:hAnsi="Arial" w:cs="Arial"/>
                <w:color w:val="0563C1"/>
                <w:sz w:val="12"/>
                <w:szCs w:val="12"/>
                <w:u w:val="single"/>
              </w:rPr>
              <w:t>http://www.upme.gov.co</w:t>
            </w:r>
          </w:hyperlink>
        </w:p>
      </w:tc>
    </w:tr>
    <w:tr w:rsidR="00CF6C56" w14:paraId="53FE93C3" w14:textId="77777777">
      <w:trPr>
        <w:trHeight w:val="428"/>
      </w:trPr>
      <w:tc>
        <w:tcPr>
          <w:tcW w:w="3393" w:type="dxa"/>
          <w:shd w:val="clear" w:color="auto" w:fill="auto"/>
          <w:vAlign w:val="center"/>
        </w:tcPr>
        <w:p w14:paraId="2B4011FB" w14:textId="77777777" w:rsidR="00CF6C56" w:rsidRDefault="00CF6C56">
          <w:pPr>
            <w:rPr>
              <w:rFonts w:ascii="Arial" w:eastAsia="Arial" w:hAnsi="Arial" w:cs="Arial"/>
              <w:sz w:val="12"/>
              <w:szCs w:val="12"/>
            </w:rPr>
          </w:pPr>
        </w:p>
      </w:tc>
    </w:tr>
  </w:tbl>
  <w:p w14:paraId="687787EA" w14:textId="77777777" w:rsidR="00CF6C56" w:rsidRDefault="00CF6C56">
    <w:pPr>
      <w:tabs>
        <w:tab w:val="right" w:pos="8838"/>
      </w:tabs>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37FDD" w14:textId="77777777" w:rsidR="00CF6C56" w:rsidRDefault="00CF6C56">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C4270" w14:textId="77777777" w:rsidR="00AA70CC" w:rsidRDefault="00AA70CC">
      <w:r>
        <w:separator/>
      </w:r>
    </w:p>
  </w:footnote>
  <w:footnote w:type="continuationSeparator" w:id="0">
    <w:p w14:paraId="040612D8" w14:textId="77777777" w:rsidR="00AA70CC" w:rsidRDefault="00AA70CC">
      <w:r>
        <w:continuationSeparator/>
      </w:r>
    </w:p>
  </w:footnote>
  <w:footnote w:id="1">
    <w:p w14:paraId="03CADB4E" w14:textId="3ECD0000" w:rsidR="001C51A2" w:rsidRPr="00BC556E" w:rsidRDefault="001C51A2">
      <w:pPr>
        <w:pStyle w:val="Textonotapie"/>
        <w:rPr>
          <w:rFonts w:ascii="Arial" w:hAnsi="Arial" w:cs="Arial"/>
          <w:lang w:val="es-MX"/>
        </w:rPr>
      </w:pPr>
      <w:r w:rsidRPr="00BC556E">
        <w:rPr>
          <w:rStyle w:val="Refdenotaalpie"/>
          <w:rFonts w:ascii="Arial" w:hAnsi="Arial" w:cs="Arial"/>
          <w:sz w:val="18"/>
          <w:szCs w:val="18"/>
        </w:rPr>
        <w:footnoteRef/>
      </w:r>
      <w:r w:rsidRPr="00BC556E">
        <w:rPr>
          <w:rFonts w:ascii="Arial" w:hAnsi="Arial" w:cs="Arial"/>
          <w:sz w:val="18"/>
          <w:szCs w:val="18"/>
        </w:rPr>
        <w:t xml:space="preserve"> </w:t>
      </w:r>
      <w:r w:rsidRPr="00BC556E">
        <w:rPr>
          <w:rFonts w:ascii="Arial" w:hAnsi="Arial" w:cs="Arial"/>
          <w:sz w:val="18"/>
          <w:szCs w:val="18"/>
          <w:lang w:val="es-ES"/>
        </w:rPr>
        <w:t xml:space="preserve">Estudio Técnico para el Plan de Abastecimiento de Gas Natural, Bogotá D.C, julio de 2020; </w:t>
      </w:r>
      <w:r w:rsidR="00D41285" w:rsidRPr="00BC556E">
        <w:rPr>
          <w:rFonts w:ascii="Arial" w:hAnsi="Arial" w:cs="Arial"/>
          <w:sz w:val="18"/>
          <w:szCs w:val="18"/>
          <w:lang w:val="es-ES"/>
        </w:rPr>
        <w:t>U</w:t>
      </w:r>
      <w:r w:rsidRPr="00BC556E">
        <w:rPr>
          <w:rFonts w:ascii="Arial" w:hAnsi="Arial" w:cs="Arial"/>
          <w:sz w:val="18"/>
          <w:szCs w:val="18"/>
          <w:lang w:val="es-ES"/>
        </w:rPr>
        <w:t xml:space="preserve">nidad de </w:t>
      </w:r>
      <w:r w:rsidR="00D41285" w:rsidRPr="00BC556E">
        <w:rPr>
          <w:rFonts w:ascii="Arial" w:hAnsi="Arial" w:cs="Arial"/>
          <w:sz w:val="18"/>
          <w:szCs w:val="18"/>
          <w:lang w:val="es-ES"/>
        </w:rPr>
        <w:t>P</w:t>
      </w:r>
      <w:r w:rsidRPr="00BC556E">
        <w:rPr>
          <w:rFonts w:ascii="Arial" w:hAnsi="Arial" w:cs="Arial"/>
          <w:sz w:val="18"/>
          <w:szCs w:val="18"/>
          <w:lang w:val="es-ES"/>
        </w:rPr>
        <w:t xml:space="preserve">laneación </w:t>
      </w:r>
      <w:proofErr w:type="gramStart"/>
      <w:r w:rsidR="00D41285" w:rsidRPr="00BC556E">
        <w:rPr>
          <w:rFonts w:ascii="Arial" w:hAnsi="Arial" w:cs="Arial"/>
          <w:sz w:val="18"/>
          <w:szCs w:val="18"/>
          <w:lang w:val="es-ES"/>
        </w:rPr>
        <w:t>M</w:t>
      </w:r>
      <w:r w:rsidRPr="00BC556E">
        <w:rPr>
          <w:rFonts w:ascii="Arial" w:hAnsi="Arial" w:cs="Arial"/>
          <w:sz w:val="18"/>
          <w:szCs w:val="18"/>
          <w:lang w:val="es-ES"/>
        </w:rPr>
        <w:t xml:space="preserve">inero </w:t>
      </w:r>
      <w:r w:rsidR="00D41285" w:rsidRPr="00BC556E">
        <w:rPr>
          <w:rFonts w:ascii="Arial" w:hAnsi="Arial" w:cs="Arial"/>
          <w:sz w:val="18"/>
          <w:szCs w:val="18"/>
          <w:lang w:val="es-ES"/>
        </w:rPr>
        <w:t>E</w:t>
      </w:r>
      <w:r w:rsidRPr="00BC556E">
        <w:rPr>
          <w:rFonts w:ascii="Arial" w:hAnsi="Arial" w:cs="Arial"/>
          <w:sz w:val="18"/>
          <w:szCs w:val="18"/>
          <w:lang w:val="es-ES"/>
        </w:rPr>
        <w:t>nergética</w:t>
      </w:r>
      <w:proofErr w:type="gramEnd"/>
      <w:r w:rsidRPr="00BC556E">
        <w:rPr>
          <w:rFonts w:ascii="Arial" w:hAnsi="Arial" w:cs="Arial"/>
          <w:sz w:val="18"/>
          <w:szCs w:val="18"/>
          <w:lang w:val="es-ES"/>
        </w:rPr>
        <w:t xml:space="preserve">, </w:t>
      </w:r>
      <w:r w:rsidR="00D41285" w:rsidRPr="00BC556E">
        <w:rPr>
          <w:rFonts w:ascii="Arial" w:hAnsi="Arial" w:cs="Arial"/>
          <w:sz w:val="18"/>
          <w:szCs w:val="18"/>
          <w:lang w:val="es-ES"/>
        </w:rPr>
        <w:t>S</w:t>
      </w:r>
      <w:r w:rsidRPr="00BC556E">
        <w:rPr>
          <w:rFonts w:ascii="Arial" w:hAnsi="Arial" w:cs="Arial"/>
          <w:sz w:val="18"/>
          <w:szCs w:val="18"/>
          <w:lang w:val="es-ES"/>
        </w:rPr>
        <w:t xml:space="preserve">ubdirección de </w:t>
      </w:r>
      <w:r w:rsidR="00D41285" w:rsidRPr="00BC556E">
        <w:rPr>
          <w:rFonts w:ascii="Arial" w:hAnsi="Arial" w:cs="Arial"/>
          <w:sz w:val="18"/>
          <w:szCs w:val="18"/>
          <w:lang w:val="es-ES"/>
        </w:rPr>
        <w:t>H</w:t>
      </w:r>
      <w:r w:rsidRPr="00BC556E">
        <w:rPr>
          <w:rFonts w:ascii="Arial" w:hAnsi="Arial" w:cs="Arial"/>
          <w:sz w:val="18"/>
          <w:szCs w:val="18"/>
          <w:lang w:val="es-ES"/>
        </w:rPr>
        <w:t>idrocarburos</w:t>
      </w:r>
      <w:r w:rsidR="00D41285" w:rsidRPr="00BC556E">
        <w:rPr>
          <w:rFonts w:ascii="Arial" w:hAnsi="Arial" w:cs="Arial"/>
          <w:sz w:val="18"/>
          <w:szCs w:val="18"/>
          <w:lang w:val="es-E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574F0" w14:textId="77777777" w:rsidR="00CF6C56" w:rsidRDefault="00CF6C56">
    <w:pPr>
      <w:keepNext/>
      <w:pBdr>
        <w:top w:val="nil"/>
        <w:left w:val="nil"/>
        <w:bottom w:val="nil"/>
        <w:right w:val="nil"/>
        <w:between w:val="nil"/>
      </w:pBdr>
      <w:spacing w:before="240" w:after="120"/>
      <w:rPr>
        <w:rFonts w:ascii="Liberation Sans" w:eastAsia="Liberation Sans" w:hAnsi="Liberation Sans" w:cs="Liberation Sans"/>
        <w:color w:val="000000"/>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9E78D" w14:textId="77777777" w:rsidR="00CF6C56" w:rsidRDefault="00CF6C56">
    <w:pPr>
      <w:widowControl w:val="0"/>
      <w:pBdr>
        <w:top w:val="nil"/>
        <w:left w:val="nil"/>
        <w:bottom w:val="nil"/>
        <w:right w:val="nil"/>
        <w:between w:val="nil"/>
      </w:pBdr>
      <w:spacing w:line="276" w:lineRule="auto"/>
      <w:rPr>
        <w:rFonts w:ascii="Arial" w:eastAsia="Arial" w:hAnsi="Arial" w:cs="Arial"/>
        <w:sz w:val="18"/>
        <w:szCs w:val="18"/>
      </w:rPr>
    </w:pPr>
  </w:p>
  <w:tbl>
    <w:tblPr>
      <w:tblStyle w:val="a0"/>
      <w:tblW w:w="9721"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2689"/>
      <w:gridCol w:w="7032"/>
    </w:tblGrid>
    <w:tr w:rsidR="00CF6C56" w14:paraId="1B2B4FD2" w14:textId="77777777">
      <w:trPr>
        <w:trHeight w:val="1020"/>
        <w:jc w:val="center"/>
      </w:trPr>
      <w:tc>
        <w:tcPr>
          <w:tcW w:w="2689" w:type="dxa"/>
          <w:vAlign w:val="center"/>
        </w:tcPr>
        <w:p w14:paraId="6054CC6F" w14:textId="77777777" w:rsidR="00CF6C56" w:rsidRDefault="00000000">
          <w:pPr>
            <w:pBdr>
              <w:top w:val="nil"/>
              <w:left w:val="nil"/>
              <w:bottom w:val="nil"/>
              <w:right w:val="nil"/>
              <w:between w:val="nil"/>
            </w:pBdr>
            <w:tabs>
              <w:tab w:val="center" w:pos="4419"/>
              <w:tab w:val="right" w:pos="8838"/>
            </w:tabs>
            <w:ind w:left="-19"/>
            <w:jc w:val="center"/>
            <w:rPr>
              <w:rFonts w:ascii="Calibri" w:eastAsia="Calibri" w:hAnsi="Calibri" w:cs="Calibri"/>
              <w:color w:val="000000"/>
              <w:sz w:val="22"/>
              <w:szCs w:val="22"/>
            </w:rPr>
          </w:pPr>
          <w:r>
            <w:rPr>
              <w:rFonts w:ascii="Calibri" w:eastAsia="Calibri" w:hAnsi="Calibri" w:cs="Calibri"/>
              <w:noProof/>
              <w:color w:val="000000"/>
              <w:sz w:val="22"/>
              <w:szCs w:val="22"/>
            </w:rPr>
            <w:drawing>
              <wp:inline distT="0" distB="0" distL="0" distR="0" wp14:anchorId="34EC3225" wp14:editId="644C884F">
                <wp:extent cx="1640205" cy="643890"/>
                <wp:effectExtent l="0" t="0" r="0" b="0"/>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4878"/>
                        <a:stretch>
                          <a:fillRect/>
                        </a:stretch>
                      </pic:blipFill>
                      <pic:spPr>
                        <a:xfrm>
                          <a:off x="0" y="0"/>
                          <a:ext cx="1640205" cy="643890"/>
                        </a:xfrm>
                        <a:prstGeom prst="rect">
                          <a:avLst/>
                        </a:prstGeom>
                        <a:ln/>
                      </pic:spPr>
                    </pic:pic>
                  </a:graphicData>
                </a:graphic>
              </wp:inline>
            </w:drawing>
          </w:r>
        </w:p>
      </w:tc>
      <w:tc>
        <w:tcPr>
          <w:tcW w:w="7032" w:type="dxa"/>
          <w:vAlign w:val="center"/>
        </w:tcPr>
        <w:p w14:paraId="3033B1B7" w14:textId="77777777" w:rsidR="00CF6C56" w:rsidRDefault="00000000">
          <w:pPr>
            <w:pBdr>
              <w:top w:val="nil"/>
              <w:left w:val="nil"/>
              <w:bottom w:val="nil"/>
              <w:right w:val="nil"/>
              <w:between w:val="nil"/>
            </w:pBdr>
            <w:tabs>
              <w:tab w:val="center" w:pos="4419"/>
              <w:tab w:val="right" w:pos="8838"/>
              <w:tab w:val="center" w:pos="6096"/>
            </w:tabs>
            <w:jc w:val="right"/>
            <w:rPr>
              <w:rFonts w:ascii="Calibri" w:eastAsia="Calibri" w:hAnsi="Calibri" w:cs="Calibri"/>
              <w:color w:val="000000"/>
              <w:sz w:val="22"/>
              <w:szCs w:val="22"/>
            </w:rPr>
          </w:pPr>
          <w:r>
            <w:rPr>
              <w:rFonts w:ascii="Arial" w:eastAsia="Arial" w:hAnsi="Arial" w:cs="Arial"/>
              <w:color w:val="000000"/>
              <w:sz w:val="22"/>
              <w:szCs w:val="22"/>
            </w:rPr>
            <w:t xml:space="preserve">Página </w:t>
          </w: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0F2058">
            <w:rPr>
              <w:rFonts w:ascii="Calibri" w:eastAsia="Calibri" w:hAnsi="Calibri" w:cs="Calibri"/>
              <w:noProof/>
              <w:color w:val="000000"/>
              <w:sz w:val="22"/>
              <w:szCs w:val="22"/>
            </w:rPr>
            <w:t>1</w:t>
          </w:r>
          <w:r>
            <w:rPr>
              <w:rFonts w:ascii="Calibri" w:eastAsia="Calibri" w:hAnsi="Calibri" w:cs="Calibri"/>
              <w:color w:val="000000"/>
              <w:sz w:val="22"/>
              <w:szCs w:val="22"/>
            </w:rPr>
            <w:fldChar w:fldCharType="end"/>
          </w:r>
          <w:r>
            <w:rPr>
              <w:rFonts w:ascii="Arial" w:eastAsia="Arial" w:hAnsi="Arial" w:cs="Arial"/>
              <w:color w:val="000000"/>
              <w:sz w:val="22"/>
              <w:szCs w:val="22"/>
            </w:rPr>
            <w:t xml:space="preserve"> de </w:t>
          </w: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NUMPAGES</w:instrText>
          </w:r>
          <w:r>
            <w:rPr>
              <w:rFonts w:ascii="Calibri" w:eastAsia="Calibri" w:hAnsi="Calibri" w:cs="Calibri"/>
              <w:color w:val="000000"/>
              <w:sz w:val="22"/>
              <w:szCs w:val="22"/>
            </w:rPr>
            <w:fldChar w:fldCharType="separate"/>
          </w:r>
          <w:r w:rsidR="000F2058">
            <w:rPr>
              <w:rFonts w:ascii="Calibri" w:eastAsia="Calibri" w:hAnsi="Calibri" w:cs="Calibri"/>
              <w:noProof/>
              <w:color w:val="000000"/>
              <w:sz w:val="22"/>
              <w:szCs w:val="22"/>
            </w:rPr>
            <w:t>2</w:t>
          </w:r>
          <w:r>
            <w:rPr>
              <w:rFonts w:ascii="Calibri" w:eastAsia="Calibri" w:hAnsi="Calibri" w:cs="Calibri"/>
              <w:color w:val="000000"/>
              <w:sz w:val="22"/>
              <w:szCs w:val="22"/>
            </w:rPr>
            <w:fldChar w:fldCharType="end"/>
          </w:r>
        </w:p>
        <w:p w14:paraId="5D54D990" w14:textId="584FF8AE" w:rsidR="00CF6C56" w:rsidRDefault="00CF6C56">
          <w:pPr>
            <w:tabs>
              <w:tab w:val="left" w:pos="1485"/>
            </w:tabs>
            <w:jc w:val="right"/>
            <w:rPr>
              <w:rFonts w:ascii="Arial Narrow" w:eastAsia="Arial Narrow" w:hAnsi="Arial Narrow" w:cs="Arial Narrow"/>
              <w:b/>
              <w:sz w:val="22"/>
              <w:szCs w:val="22"/>
            </w:rPr>
          </w:pPr>
        </w:p>
      </w:tc>
    </w:tr>
  </w:tbl>
  <w:p w14:paraId="67A1E1FC" w14:textId="77777777" w:rsidR="00CF6C56" w:rsidRDefault="00000000">
    <w:pPr>
      <w:pBdr>
        <w:top w:val="nil"/>
        <w:left w:val="nil"/>
        <w:bottom w:val="nil"/>
        <w:right w:val="nil"/>
        <w:between w:val="nil"/>
      </w:pBdr>
      <w:tabs>
        <w:tab w:val="center" w:pos="4419"/>
        <w:tab w:val="right" w:pos="8838"/>
      </w:tabs>
      <w:ind w:left="708"/>
      <w:rPr>
        <w:rFonts w:ascii="Calibri" w:eastAsia="Calibri" w:hAnsi="Calibri" w:cs="Calibri"/>
        <w:b/>
        <w:color w:val="000000"/>
        <w:sz w:val="22"/>
        <w:szCs w:val="22"/>
      </w:rPr>
    </w:pPr>
    <w:r>
      <w:rPr>
        <w:rFonts w:ascii="Calibri" w:eastAsia="Calibri" w:hAnsi="Calibri" w:cs="Calibri"/>
        <w:b/>
        <w:color w:val="000000"/>
        <w:sz w:val="22"/>
        <w:szCs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D23B8" w14:textId="77777777" w:rsidR="00CF6C56" w:rsidRDefault="00CF6C56">
    <w:pPr>
      <w:keepNext/>
      <w:pBdr>
        <w:top w:val="nil"/>
        <w:left w:val="nil"/>
        <w:bottom w:val="nil"/>
        <w:right w:val="nil"/>
        <w:between w:val="nil"/>
      </w:pBdr>
      <w:spacing w:before="240" w:after="120"/>
      <w:rPr>
        <w:rFonts w:ascii="Liberation Sans" w:eastAsia="Liberation Sans" w:hAnsi="Liberation Sans" w:cs="Liberation Sans"/>
        <w:color w:val="00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5E1F97"/>
    <w:multiLevelType w:val="hybridMultilevel"/>
    <w:tmpl w:val="FCCCB0C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788359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C56"/>
    <w:rsid w:val="000033CC"/>
    <w:rsid w:val="000F2058"/>
    <w:rsid w:val="00191E03"/>
    <w:rsid w:val="001C51A2"/>
    <w:rsid w:val="002C3819"/>
    <w:rsid w:val="00411D4B"/>
    <w:rsid w:val="00771BAB"/>
    <w:rsid w:val="009F69CA"/>
    <w:rsid w:val="00AA70CC"/>
    <w:rsid w:val="00B34D5B"/>
    <w:rsid w:val="00BC556E"/>
    <w:rsid w:val="00CF6C56"/>
    <w:rsid w:val="00D4128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5B7EA"/>
  <w15:docId w15:val="{774FB58F-8972-4779-A331-54FFB11CC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84F"/>
    <w:pPr>
      <w:suppressAutoHyphens/>
    </w:pPr>
    <w:rPr>
      <w:lang w:eastAsia="es-E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customStyle="1" w:styleId="Encabezado2">
    <w:name w:val="Encabezado 2"/>
    <w:basedOn w:val="Normal"/>
    <w:next w:val="Normal"/>
    <w:link w:val="Ttulo2Car"/>
    <w:uiPriority w:val="9"/>
    <w:unhideWhenUsed/>
    <w:qFormat/>
    <w:rsid w:val="00A94333"/>
    <w:pPr>
      <w:keepNext/>
      <w:keepLines/>
      <w:spacing w:before="200" w:line="276" w:lineRule="auto"/>
      <w:outlineLvl w:val="1"/>
    </w:pPr>
    <w:rPr>
      <w:rFonts w:ascii="Cambria" w:hAnsi="Cambria"/>
      <w:b/>
      <w:bCs/>
      <w:color w:val="4F81BD"/>
      <w:sz w:val="26"/>
      <w:szCs w:val="26"/>
      <w:lang w:val="es-CO" w:eastAsia="en-US"/>
    </w:rPr>
  </w:style>
  <w:style w:type="character" w:customStyle="1" w:styleId="EncabezadoCar">
    <w:name w:val="Encabezado Car"/>
    <w:basedOn w:val="Fuentedeprrafopredeter"/>
    <w:link w:val="Encabezado"/>
    <w:uiPriority w:val="99"/>
    <w:qFormat/>
    <w:rsid w:val="00755D40"/>
  </w:style>
  <w:style w:type="character" w:customStyle="1" w:styleId="PiedepginaCar">
    <w:name w:val="Pie de página Car"/>
    <w:basedOn w:val="Fuentedeprrafopredeter"/>
    <w:link w:val="Piedepgina"/>
    <w:uiPriority w:val="99"/>
    <w:qFormat/>
    <w:rsid w:val="00755D40"/>
  </w:style>
  <w:style w:type="character" w:customStyle="1" w:styleId="TextodegloboCar">
    <w:name w:val="Texto de globo Car"/>
    <w:link w:val="Textodeglobo"/>
    <w:uiPriority w:val="99"/>
    <w:semiHidden/>
    <w:qFormat/>
    <w:rsid w:val="00755D40"/>
    <w:rPr>
      <w:rFonts w:ascii="Tahoma" w:hAnsi="Tahoma" w:cs="Tahoma"/>
      <w:sz w:val="16"/>
      <w:szCs w:val="16"/>
    </w:rPr>
  </w:style>
  <w:style w:type="character" w:customStyle="1" w:styleId="Ttulo2Car">
    <w:name w:val="Título 2 Car"/>
    <w:link w:val="Encabezado2"/>
    <w:uiPriority w:val="9"/>
    <w:qFormat/>
    <w:rsid w:val="00A94333"/>
    <w:rPr>
      <w:rFonts w:ascii="Cambria" w:eastAsia="Times New Roman" w:hAnsi="Cambria" w:cs="Times New Roman"/>
      <w:b/>
      <w:bCs/>
      <w:color w:val="4F81BD"/>
      <w:sz w:val="26"/>
      <w:szCs w:val="26"/>
    </w:rPr>
  </w:style>
  <w:style w:type="character" w:styleId="Textodelmarcadordeposicin">
    <w:name w:val="Placeholder Text"/>
    <w:uiPriority w:val="99"/>
    <w:semiHidden/>
    <w:qFormat/>
    <w:rsid w:val="00A94333"/>
    <w:rPr>
      <w:color w:val="808080"/>
    </w:rPr>
  </w:style>
  <w:style w:type="character" w:customStyle="1" w:styleId="codigobarras">
    <w:name w:val="codigo barras"/>
    <w:qFormat/>
    <w:rsid w:val="00F5284F"/>
    <w:rPr>
      <w:rFonts w:ascii="Code3of9" w:hAnsi="Code3of9"/>
      <w:b w:val="0"/>
    </w:rPr>
  </w:style>
  <w:style w:type="character" w:styleId="Textoennegrita">
    <w:name w:val="Strong"/>
    <w:uiPriority w:val="22"/>
    <w:qFormat/>
    <w:rsid w:val="00BA5432"/>
    <w:rPr>
      <w:b/>
      <w:bCs/>
    </w:rPr>
  </w:style>
  <w:style w:type="character" w:customStyle="1" w:styleId="EnlacedeInternet">
    <w:name w:val="Enlace de Internet"/>
    <w:uiPriority w:val="99"/>
    <w:unhideWhenUsed/>
    <w:rsid w:val="006C6A10"/>
    <w:rPr>
      <w:color w:val="0000FF"/>
      <w:u w:val="single"/>
    </w:rPr>
  </w:style>
  <w:style w:type="paragraph" w:styleId="Encabezado">
    <w:name w:val="header"/>
    <w:basedOn w:val="Normal"/>
    <w:next w:val="Cuerpodetexto"/>
    <w:link w:val="EncabezadoCar"/>
    <w:qFormat/>
    <w:pPr>
      <w:keepNext/>
      <w:spacing w:before="240" w:after="120"/>
    </w:pPr>
    <w:rPr>
      <w:rFonts w:ascii="Liberation Sans" w:eastAsia="Droid Sans Fallback" w:hAnsi="Liberation Sans" w:cs="FreeSans"/>
      <w:sz w:val="28"/>
      <w:szCs w:val="28"/>
    </w:rPr>
  </w:style>
  <w:style w:type="paragraph" w:customStyle="1" w:styleId="Cuerpodetexto">
    <w:name w:val="Cuerpo de texto"/>
    <w:basedOn w:val="Normal"/>
    <w:pPr>
      <w:spacing w:after="140" w:line="288" w:lineRule="auto"/>
    </w:pPr>
  </w:style>
  <w:style w:type="paragraph" w:styleId="Lista">
    <w:name w:val="List"/>
    <w:basedOn w:val="Cuerpodetexto"/>
    <w:rPr>
      <w:rFonts w:cs="FreeSans"/>
    </w:rPr>
  </w:style>
  <w:style w:type="paragraph" w:customStyle="1" w:styleId="Pie">
    <w:name w:val="Pie"/>
    <w:basedOn w:val="Normal"/>
    <w:pPr>
      <w:suppressLineNumbers/>
      <w:spacing w:before="120" w:after="120"/>
    </w:pPr>
    <w:rPr>
      <w:rFonts w:cs="FreeSans"/>
      <w:i/>
      <w:iCs/>
    </w:rPr>
  </w:style>
  <w:style w:type="paragraph" w:customStyle="1" w:styleId="ndice">
    <w:name w:val="Índice"/>
    <w:basedOn w:val="Normal"/>
    <w:qFormat/>
    <w:pPr>
      <w:suppressLineNumbers/>
    </w:pPr>
    <w:rPr>
      <w:rFonts w:cs="FreeSans"/>
    </w:rPr>
  </w:style>
  <w:style w:type="paragraph" w:customStyle="1" w:styleId="Encabezamiento">
    <w:name w:val="Encabezamiento"/>
    <w:basedOn w:val="Normal"/>
    <w:uiPriority w:val="99"/>
    <w:unhideWhenUsed/>
    <w:rsid w:val="00755D40"/>
    <w:pPr>
      <w:tabs>
        <w:tab w:val="center" w:pos="4419"/>
        <w:tab w:val="right" w:pos="8838"/>
      </w:tabs>
    </w:pPr>
    <w:rPr>
      <w:rFonts w:ascii="Calibri" w:eastAsia="Calibri" w:hAnsi="Calibri"/>
      <w:sz w:val="22"/>
      <w:szCs w:val="22"/>
      <w:lang w:val="es-CO" w:eastAsia="en-US"/>
    </w:rPr>
  </w:style>
  <w:style w:type="paragraph" w:styleId="Piedepgina">
    <w:name w:val="footer"/>
    <w:basedOn w:val="Normal"/>
    <w:link w:val="PiedepginaCar"/>
    <w:uiPriority w:val="99"/>
    <w:unhideWhenUsed/>
    <w:rsid w:val="00755D40"/>
    <w:pPr>
      <w:tabs>
        <w:tab w:val="center" w:pos="4419"/>
        <w:tab w:val="right" w:pos="8838"/>
      </w:tabs>
    </w:pPr>
  </w:style>
  <w:style w:type="paragraph" w:styleId="Textodeglobo">
    <w:name w:val="Balloon Text"/>
    <w:basedOn w:val="Normal"/>
    <w:link w:val="TextodegloboCar"/>
    <w:uiPriority w:val="99"/>
    <w:semiHidden/>
    <w:unhideWhenUsed/>
    <w:qFormat/>
    <w:rsid w:val="00755D40"/>
    <w:rPr>
      <w:rFonts w:ascii="Tahoma" w:eastAsia="Calibri" w:hAnsi="Tahoma" w:cs="Tahoma"/>
      <w:sz w:val="16"/>
      <w:szCs w:val="16"/>
      <w:lang w:val="es-CO" w:eastAsia="en-US"/>
    </w:rPr>
  </w:style>
  <w:style w:type="paragraph" w:styleId="NormalWeb">
    <w:name w:val="Normal (Web)"/>
    <w:basedOn w:val="Normal"/>
    <w:uiPriority w:val="99"/>
    <w:semiHidden/>
    <w:unhideWhenUsed/>
    <w:qFormat/>
    <w:rsid w:val="00BA5432"/>
    <w:pPr>
      <w:spacing w:beforeAutospacing="1" w:afterAutospacing="1"/>
    </w:pPr>
    <w:rPr>
      <w:lang w:val="es-CO" w:eastAsia="es-CO"/>
    </w:rPr>
  </w:style>
  <w:style w:type="paragraph" w:styleId="Prrafodelista">
    <w:name w:val="List Paragraph"/>
    <w:basedOn w:val="Normal"/>
    <w:uiPriority w:val="34"/>
    <w:qFormat/>
    <w:rsid w:val="00BA5432"/>
    <w:pPr>
      <w:ind w:left="720"/>
      <w:contextualSpacing/>
    </w:pPr>
  </w:style>
  <w:style w:type="paragraph" w:customStyle="1" w:styleId="Sinespaciado1">
    <w:name w:val="Sin espaciado1"/>
    <w:qFormat/>
    <w:rsid w:val="00436A1A"/>
    <w:pPr>
      <w:keepNext/>
      <w:suppressAutoHyphens/>
      <w:spacing w:after="200" w:line="100" w:lineRule="atLeast"/>
      <w:jc w:val="both"/>
    </w:pPr>
    <w:rPr>
      <w:color w:val="00000A"/>
      <w:lang w:eastAsia="en-US"/>
    </w:rPr>
  </w:style>
  <w:style w:type="table" w:styleId="Tablaconcuadrcula">
    <w:name w:val="Table Grid"/>
    <w:basedOn w:val="Tablanormal"/>
    <w:uiPriority w:val="39"/>
    <w:rsid w:val="002051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nhideWhenUsed/>
    <w:rsid w:val="001B3EB7"/>
    <w:rPr>
      <w:color w:val="0563C1" w:themeColor="hyperlink"/>
      <w:u w:val="single"/>
    </w:rPr>
  </w:style>
  <w:style w:type="paragraph" w:customStyle="1" w:styleId="Contenidodelatabla">
    <w:name w:val="Contenido de la tabla"/>
    <w:basedOn w:val="Normal"/>
    <w:qFormat/>
    <w:rsid w:val="001645D2"/>
    <w:pPr>
      <w:suppressLineNumbers/>
    </w:pPr>
  </w:style>
  <w:style w:type="character" w:customStyle="1" w:styleId="UnresolvedMention1">
    <w:name w:val="Unresolved Mention1"/>
    <w:basedOn w:val="Fuentedeprrafopredeter"/>
    <w:uiPriority w:val="99"/>
    <w:semiHidden/>
    <w:unhideWhenUsed/>
    <w:rsid w:val="00FB3D18"/>
    <w:rPr>
      <w:color w:val="605E5C"/>
      <w:shd w:val="clear" w:color="auto" w:fill="E1DFDD"/>
    </w:rPr>
  </w:style>
  <w:style w:type="character" w:styleId="Mencinsinresolver">
    <w:name w:val="Unresolved Mention"/>
    <w:basedOn w:val="Fuentedeprrafopredeter"/>
    <w:uiPriority w:val="99"/>
    <w:semiHidden/>
    <w:unhideWhenUsed/>
    <w:rsid w:val="00537067"/>
    <w:rPr>
      <w:color w:val="605E5C"/>
      <w:shd w:val="clear" w:color="auto" w:fill="E1DFDD"/>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FA Fu Car Car"/>
    <w:basedOn w:val="Normal"/>
    <w:link w:val="TextonotapieCar"/>
    <w:uiPriority w:val="99"/>
    <w:unhideWhenUsed/>
    <w:qFormat/>
    <w:rsid w:val="00E56277"/>
    <w:pPr>
      <w:suppressAutoHyphens w:val="0"/>
    </w:pPr>
    <w:rPr>
      <w:sz w:val="20"/>
      <w:szCs w:val="20"/>
      <w:lang w:val="es-CO" w:eastAsia="es-ES_tradnl"/>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FA Fu Car Car Car"/>
    <w:basedOn w:val="Fuentedeprrafopredeter"/>
    <w:link w:val="Textonotapie"/>
    <w:uiPriority w:val="99"/>
    <w:rsid w:val="00E56277"/>
    <w:rPr>
      <w:rFonts w:ascii="Times New Roman" w:eastAsia="Times New Roman" w:hAnsi="Times New Roman"/>
      <w:lang w:eastAsia="es-ES_tradnl"/>
    </w:rPr>
  </w:style>
  <w:style w:type="character" w:styleId="Refdenotaalpie">
    <w:name w:val="footnote reference"/>
    <w:aliases w:val="Texto de nota al pie,Ref. de nota al pie 2,Pie de Página,FC,referencia nota al pie,Nota de pie,Texto nota al pie,Appel note de bas de page,Footnotes refss,Footnote number,BVI fnr,f,4_G,16 Point,Superscript 6 Point,Texto de nota al pi"/>
    <w:uiPriority w:val="99"/>
    <w:unhideWhenUsed/>
    <w:rsid w:val="00E56277"/>
    <w:rPr>
      <w:vertAlign w:val="superscript"/>
    </w:rPr>
  </w:style>
  <w:style w:type="character" w:customStyle="1" w:styleId="showfield2023160120900088e">
    <w:name w:val="showfield_2023160120900088e"/>
    <w:basedOn w:val="Fuentedeprrafopredeter"/>
    <w:rsid w:val="003D57FC"/>
  </w:style>
  <w:style w:type="paragraph" w:customStyle="1" w:styleId="TextoparaTtulo2">
    <w:name w:val="Texto para Título 2"/>
    <w:basedOn w:val="Normal"/>
    <w:rsid w:val="00930933"/>
    <w:pPr>
      <w:suppressAutoHyphens w:val="0"/>
      <w:spacing w:before="240" w:after="60"/>
      <w:jc w:val="both"/>
    </w:pPr>
    <w:rPr>
      <w:rFonts w:ascii="Arial" w:hAnsi="Arial"/>
      <w:sz w:val="20"/>
      <w:szCs w:val="20"/>
      <w:lang w:val="es-CO"/>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55" w:type="dxa"/>
        <w:left w:w="55" w:type="dxa"/>
        <w:bottom w:w="55" w:type="dxa"/>
        <w:right w:w="55"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936187">
      <w:bodyDiv w:val="1"/>
      <w:marLeft w:val="0"/>
      <w:marRight w:val="0"/>
      <w:marTop w:val="0"/>
      <w:marBottom w:val="0"/>
      <w:divBdr>
        <w:top w:val="none" w:sz="0" w:space="0" w:color="auto"/>
        <w:left w:val="none" w:sz="0" w:space="0" w:color="auto"/>
        <w:bottom w:val="none" w:sz="0" w:space="0" w:color="auto"/>
        <w:right w:val="none" w:sz="0" w:space="0" w:color="auto"/>
      </w:divBdr>
      <w:divsChild>
        <w:div w:id="1702440726">
          <w:marLeft w:val="0"/>
          <w:marRight w:val="0"/>
          <w:marTop w:val="0"/>
          <w:marBottom w:val="0"/>
          <w:divBdr>
            <w:top w:val="none" w:sz="0" w:space="0" w:color="auto"/>
            <w:left w:val="none" w:sz="0" w:space="0" w:color="auto"/>
            <w:bottom w:val="none" w:sz="0" w:space="0" w:color="auto"/>
            <w:right w:val="none" w:sz="0" w:space="0" w:color="auto"/>
          </w:divBdr>
        </w:div>
        <w:div w:id="106631574">
          <w:marLeft w:val="0"/>
          <w:marRight w:val="0"/>
          <w:marTop w:val="0"/>
          <w:marBottom w:val="0"/>
          <w:divBdr>
            <w:top w:val="none" w:sz="0" w:space="0" w:color="auto"/>
            <w:left w:val="none" w:sz="0" w:space="0" w:color="auto"/>
            <w:bottom w:val="none" w:sz="0" w:space="0" w:color="auto"/>
            <w:right w:val="none" w:sz="0" w:space="0" w:color="auto"/>
          </w:divBdr>
        </w:div>
      </w:divsChild>
    </w:div>
    <w:div w:id="951785647">
      <w:bodyDiv w:val="1"/>
      <w:marLeft w:val="0"/>
      <w:marRight w:val="0"/>
      <w:marTop w:val="0"/>
      <w:marBottom w:val="0"/>
      <w:divBdr>
        <w:top w:val="none" w:sz="0" w:space="0" w:color="auto"/>
        <w:left w:val="none" w:sz="0" w:space="0" w:color="auto"/>
        <w:bottom w:val="none" w:sz="0" w:space="0" w:color="auto"/>
        <w:right w:val="none" w:sz="0" w:space="0" w:color="auto"/>
      </w:divBdr>
      <w:divsChild>
        <w:div w:id="2088528246">
          <w:marLeft w:val="0"/>
          <w:marRight w:val="0"/>
          <w:marTop w:val="0"/>
          <w:marBottom w:val="0"/>
          <w:divBdr>
            <w:top w:val="none" w:sz="0" w:space="0" w:color="auto"/>
            <w:left w:val="none" w:sz="0" w:space="0" w:color="auto"/>
            <w:bottom w:val="none" w:sz="0" w:space="0" w:color="auto"/>
            <w:right w:val="none" w:sz="0" w:space="0" w:color="auto"/>
          </w:divBdr>
        </w:div>
        <w:div w:id="1974559626">
          <w:marLeft w:val="0"/>
          <w:marRight w:val="0"/>
          <w:marTop w:val="0"/>
          <w:marBottom w:val="0"/>
          <w:divBdr>
            <w:top w:val="none" w:sz="0" w:space="0" w:color="auto"/>
            <w:left w:val="none" w:sz="0" w:space="0" w:color="auto"/>
            <w:bottom w:val="none" w:sz="0" w:space="0" w:color="auto"/>
            <w:right w:val="none" w:sz="0" w:space="0" w:color="auto"/>
          </w:divBdr>
        </w:div>
        <w:div w:id="1272544695">
          <w:marLeft w:val="0"/>
          <w:marRight w:val="0"/>
          <w:marTop w:val="0"/>
          <w:marBottom w:val="0"/>
          <w:divBdr>
            <w:top w:val="none" w:sz="0" w:space="0" w:color="auto"/>
            <w:left w:val="none" w:sz="0" w:space="0" w:color="auto"/>
            <w:bottom w:val="none" w:sz="0" w:space="0" w:color="auto"/>
            <w:right w:val="none" w:sz="0" w:space="0" w:color="auto"/>
          </w:divBdr>
        </w:div>
      </w:divsChild>
    </w:div>
    <w:div w:id="1101536466">
      <w:bodyDiv w:val="1"/>
      <w:marLeft w:val="0"/>
      <w:marRight w:val="0"/>
      <w:marTop w:val="0"/>
      <w:marBottom w:val="0"/>
      <w:divBdr>
        <w:top w:val="none" w:sz="0" w:space="0" w:color="auto"/>
        <w:left w:val="none" w:sz="0" w:space="0" w:color="auto"/>
        <w:bottom w:val="none" w:sz="0" w:space="0" w:color="auto"/>
        <w:right w:val="none" w:sz="0" w:space="0" w:color="auto"/>
      </w:divBdr>
      <w:divsChild>
        <w:div w:id="1007823996">
          <w:marLeft w:val="0"/>
          <w:marRight w:val="0"/>
          <w:marTop w:val="0"/>
          <w:marBottom w:val="0"/>
          <w:divBdr>
            <w:top w:val="none" w:sz="0" w:space="0" w:color="auto"/>
            <w:left w:val="none" w:sz="0" w:space="0" w:color="auto"/>
            <w:bottom w:val="none" w:sz="0" w:space="0" w:color="auto"/>
            <w:right w:val="none" w:sz="0" w:space="0" w:color="auto"/>
          </w:divBdr>
        </w:div>
        <w:div w:id="600725032">
          <w:marLeft w:val="0"/>
          <w:marRight w:val="0"/>
          <w:marTop w:val="0"/>
          <w:marBottom w:val="0"/>
          <w:divBdr>
            <w:top w:val="none" w:sz="0" w:space="0" w:color="auto"/>
            <w:left w:val="none" w:sz="0" w:space="0" w:color="auto"/>
            <w:bottom w:val="none" w:sz="0" w:space="0" w:color="auto"/>
            <w:right w:val="none" w:sz="0" w:space="0" w:color="auto"/>
          </w:divBdr>
        </w:div>
        <w:div w:id="1452672472">
          <w:marLeft w:val="0"/>
          <w:marRight w:val="0"/>
          <w:marTop w:val="0"/>
          <w:marBottom w:val="0"/>
          <w:divBdr>
            <w:top w:val="none" w:sz="0" w:space="0" w:color="auto"/>
            <w:left w:val="none" w:sz="0" w:space="0" w:color="auto"/>
            <w:bottom w:val="none" w:sz="0" w:space="0" w:color="auto"/>
            <w:right w:val="none" w:sz="0" w:space="0" w:color="auto"/>
          </w:divBdr>
        </w:div>
        <w:div w:id="1236432943">
          <w:marLeft w:val="0"/>
          <w:marRight w:val="0"/>
          <w:marTop w:val="0"/>
          <w:marBottom w:val="0"/>
          <w:divBdr>
            <w:top w:val="none" w:sz="0" w:space="0" w:color="auto"/>
            <w:left w:val="none" w:sz="0" w:space="0" w:color="auto"/>
            <w:bottom w:val="none" w:sz="0" w:space="0" w:color="auto"/>
            <w:right w:val="none" w:sz="0" w:space="0" w:color="auto"/>
          </w:divBdr>
        </w:div>
      </w:divsChild>
    </w:div>
    <w:div w:id="12376724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me.gov.co/Hidrocarburos/publicaciones/Plan_Transitorio_Abastecimiento_Gas_Natural.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1.up/" TargetMode="External"/><Relationship Id="rId24" Type="http://schemas.openxmlformats.org/officeDocument/2006/relationships/customXml" Target="../customXml/item5.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customXml" Target="../customXml/item4.xml"/><Relationship Id="rId10" Type="http://schemas.openxmlformats.org/officeDocument/2006/relationships/hyperlink" Target="https://www1.upme.gov.co/Hidrocarburos/publicaciones/Plan_Transitorio_Abastecimiento_Gas_Natural.pdf"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s://www1.upme.gov.co/Hidrocarburos/publicaciones/PAGN_2019-2028.pdf" TargetMode="External"/><Relationship Id="rId14" Type="http://schemas.openxmlformats.org/officeDocument/2006/relationships/header" Target="header1.xml"/><Relationship Id="rId22" Type="http://schemas.openxmlformats.org/officeDocument/2006/relationships/customXml" Target="../customXml/item3.xml"/></Relationships>
</file>

<file path=word/_rels/footer2.xml.rels><?xml version="1.0" encoding="UTF-8" standalone="yes"?>
<Relationships xmlns="http://schemas.openxmlformats.org/package/2006/relationships"><Relationship Id="rId2" Type="http://schemas.openxmlformats.org/officeDocument/2006/relationships/hyperlink" Target="http://www.upme.gov.co" TargetMode="External"/><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skgxcZ6Olddwa1Q3D8RRPg4KDA==">CgMxLjA4AHIhMUpSczBSd2xNcFFkR1FmSFlLREVNM3hWajhKWkRCdUFG</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8942729923DD3E41ABE998432493E3D1" ma:contentTypeVersion="2" ma:contentTypeDescription="Crear nuevo documento." ma:contentTypeScope="" ma:versionID="28d0085fb3ff3ba2637e27c597caf0b5">
  <xsd:schema xmlns:xsd="http://www.w3.org/2001/XMLSchema" xmlns:xs="http://www.w3.org/2001/XMLSchema" xmlns:p="http://schemas.microsoft.com/office/2006/metadata/properties" targetNamespace="http://schemas.microsoft.com/office/2006/metadata/properties" ma:root="true" ma:fieldsID="7b4afbcb2487568e4ac3f4426186394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2221F1-4FC1-4F19-8872-58645E4555C4}"/>
</file>

<file path=customXml/itemProps2.xml><?xml version="1.0" encoding="utf-8"?>
<ds:datastoreItem xmlns:ds="http://schemas.openxmlformats.org/officeDocument/2006/customXml" ds:itemID="{11111111-1234-1234-1234-123412341234}"/>
</file>

<file path=customXml/itemProps3.xml><?xml version="1.0" encoding="utf-8"?>
<ds:datastoreItem xmlns:ds="http://schemas.openxmlformats.org/officeDocument/2006/customXml" ds:itemID="{9D381160-26A5-4C42-A72C-F4175B0FF368}"/>
</file>

<file path=customXml/itemProps4.xml><?xml version="1.0" encoding="utf-8"?>
<ds:datastoreItem xmlns:ds="http://schemas.openxmlformats.org/officeDocument/2006/customXml" ds:itemID="{7EAA08BF-CBFF-4AE5-9FE4-E8B65DDFD297}"/>
</file>

<file path=customXml/itemProps5.xml><?xml version="1.0" encoding="utf-8"?>
<ds:datastoreItem xmlns:ds="http://schemas.openxmlformats.org/officeDocument/2006/customXml" ds:itemID="{561DCB81-CEA0-40A4-B957-91F079A9A6BC}"/>
</file>

<file path=docProps/app.xml><?xml version="1.0" encoding="utf-8"?>
<Properties xmlns="http://schemas.openxmlformats.org/officeDocument/2006/extended-properties" xmlns:vt="http://schemas.openxmlformats.org/officeDocument/2006/docPropsVTypes">
  <Template>Normal.dotm</Template>
  <TotalTime>9</TotalTime>
  <Pages>4</Pages>
  <Words>828</Words>
  <Characters>4555</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aochoa</dc:creator>
  <cp:lastModifiedBy>Jose Lenin Morillo Carrillo</cp:lastModifiedBy>
  <cp:revision>3</cp:revision>
  <dcterms:created xsi:type="dcterms:W3CDTF">2023-09-07T23:32:00Z</dcterms:created>
  <dcterms:modified xsi:type="dcterms:W3CDTF">2023-09-08T01:35:00Z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MSIP_Label_36791f77-3d39-4d72-9277-ac879ec799ed_Enabled">
    <vt:lpwstr>true</vt:lpwstr>
  </property>
  <property fmtid="{D5CDD505-2E9C-101B-9397-08002B2CF9AE}" pid="9" name="MSIP_Label_36791f77-3d39-4d72-9277-ac879ec799ed_SetDate">
    <vt:lpwstr>2022-11-15T20:11:03Z</vt:lpwstr>
  </property>
  <property fmtid="{D5CDD505-2E9C-101B-9397-08002B2CF9AE}" pid="10" name="MSIP_Label_36791f77-3d39-4d72-9277-ac879ec799ed_Method">
    <vt:lpwstr>Standard</vt:lpwstr>
  </property>
  <property fmtid="{D5CDD505-2E9C-101B-9397-08002B2CF9AE}" pid="11" name="MSIP_Label_36791f77-3d39-4d72-9277-ac879ec799ed_Name">
    <vt:lpwstr>restricted-default</vt:lpwstr>
  </property>
  <property fmtid="{D5CDD505-2E9C-101B-9397-08002B2CF9AE}" pid="12" name="MSIP_Label_36791f77-3d39-4d72-9277-ac879ec799ed_SiteId">
    <vt:lpwstr>254ba93e-1f6f-48f3-90e6-e2766664b477</vt:lpwstr>
  </property>
  <property fmtid="{D5CDD505-2E9C-101B-9397-08002B2CF9AE}" pid="13" name="MSIP_Label_36791f77-3d39-4d72-9277-ac879ec799ed_ActionId">
    <vt:lpwstr>87faf8f2-d3c8-4fba-9f26-5684ff2b7dd7</vt:lpwstr>
  </property>
  <property fmtid="{D5CDD505-2E9C-101B-9397-08002B2CF9AE}" pid="14" name="MSIP_Label_36791f77-3d39-4d72-9277-ac879ec799ed_ContentBits">
    <vt:lpwstr>0</vt:lpwstr>
  </property>
  <property fmtid="{D5CDD505-2E9C-101B-9397-08002B2CF9AE}" pid="15" name="ContentTypeId">
    <vt:lpwstr>0x0101008942729923DD3E41ABE998432493E3D1</vt:lpwstr>
  </property>
</Properties>
</file>