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93E" w:rsidRDefault="00CB693E">
      <w:pPr>
        <w:widowControl w:val="0"/>
        <w:pBdr>
          <w:top w:val="nil"/>
          <w:left w:val="nil"/>
          <w:bottom w:val="nil"/>
          <w:right w:val="nil"/>
          <w:between w:val="nil"/>
        </w:pBdr>
        <w:tabs>
          <w:tab w:val="left" w:pos="720"/>
        </w:tabs>
        <w:jc w:val="both"/>
        <w:rPr>
          <w:rFonts w:ascii="Arial" w:eastAsia="Arial" w:hAnsi="Arial" w:cs="Arial"/>
          <w:b/>
          <w:color w:val="000000"/>
          <w:sz w:val="22"/>
          <w:szCs w:val="22"/>
        </w:rPr>
      </w:pPr>
    </w:p>
    <w:p w:rsidR="00CB693E" w:rsidRDefault="00E21F8A">
      <w:pPr>
        <w:widowControl w:val="0"/>
        <w:pBdr>
          <w:top w:val="nil"/>
          <w:left w:val="nil"/>
          <w:bottom w:val="nil"/>
          <w:right w:val="nil"/>
          <w:between w:val="nil"/>
        </w:pBdr>
        <w:tabs>
          <w:tab w:val="left" w:pos="720"/>
        </w:tabs>
        <w:jc w:val="both"/>
        <w:rPr>
          <w:color w:val="000000"/>
        </w:rPr>
      </w:pPr>
      <w:r>
        <w:rPr>
          <w:rFonts w:ascii="Arial" w:eastAsia="Arial" w:hAnsi="Arial" w:cs="Arial"/>
          <w:b/>
          <w:color w:val="000000"/>
          <w:sz w:val="22"/>
          <w:szCs w:val="22"/>
        </w:rPr>
        <w:t xml:space="preserve">FECHA: </w:t>
      </w:r>
      <w:r>
        <w:rPr>
          <w:rFonts w:ascii="Arial Narrow" w:eastAsia="Arial Narrow" w:hAnsi="Arial Narrow" w:cs="Arial Narrow"/>
          <w:b/>
          <w:color w:val="000000"/>
          <w:sz w:val="22"/>
          <w:szCs w:val="22"/>
        </w:rPr>
        <w:t>28 DE JULIO DE 2023</w:t>
      </w:r>
    </w:p>
    <w:p w:rsidR="00CB693E" w:rsidRDefault="00E21F8A">
      <w:pPr>
        <w:pBdr>
          <w:top w:val="nil"/>
          <w:left w:val="nil"/>
          <w:bottom w:val="nil"/>
          <w:right w:val="nil"/>
          <w:between w:val="nil"/>
        </w:pBdr>
        <w:rPr>
          <w:color w:val="000000"/>
        </w:rPr>
      </w:pPr>
      <w:r>
        <w:rPr>
          <w:rFonts w:ascii="Arial" w:eastAsia="Arial" w:hAnsi="Arial" w:cs="Arial"/>
          <w:b/>
          <w:color w:val="000000"/>
          <w:sz w:val="22"/>
          <w:szCs w:val="22"/>
        </w:rPr>
        <w:t xml:space="preserve">LUGAR: </w:t>
      </w:r>
      <w:r>
        <w:rPr>
          <w:rFonts w:ascii="Arial" w:eastAsia="Arial" w:hAnsi="Arial" w:cs="Arial"/>
          <w:color w:val="000000"/>
          <w:sz w:val="22"/>
          <w:szCs w:val="22"/>
        </w:rPr>
        <w:t>UPME</w:t>
      </w:r>
    </w:p>
    <w:p w:rsidR="00CB693E" w:rsidRDefault="00CB693E">
      <w:pPr>
        <w:widowControl w:val="0"/>
        <w:pBdr>
          <w:top w:val="nil"/>
          <w:left w:val="nil"/>
          <w:bottom w:val="nil"/>
          <w:right w:val="nil"/>
          <w:between w:val="nil"/>
        </w:pBdr>
        <w:tabs>
          <w:tab w:val="left" w:pos="720"/>
        </w:tabs>
        <w:jc w:val="center"/>
        <w:rPr>
          <w:rFonts w:ascii="Arial" w:eastAsia="Arial" w:hAnsi="Arial" w:cs="Arial"/>
          <w:b/>
          <w:color w:val="000000"/>
          <w:sz w:val="22"/>
          <w:szCs w:val="22"/>
        </w:rPr>
      </w:pPr>
    </w:p>
    <w:p w:rsidR="00CB693E" w:rsidRDefault="00CB693E">
      <w:pPr>
        <w:pBdr>
          <w:top w:val="nil"/>
          <w:left w:val="nil"/>
          <w:bottom w:val="nil"/>
          <w:right w:val="nil"/>
          <w:between w:val="nil"/>
        </w:pBdr>
        <w:tabs>
          <w:tab w:val="center" w:pos="4419"/>
          <w:tab w:val="right" w:pos="8838"/>
        </w:tabs>
        <w:rPr>
          <w:rFonts w:ascii="Arial" w:eastAsia="Arial" w:hAnsi="Arial" w:cs="Arial"/>
          <w:b/>
          <w:color w:val="000000"/>
          <w:sz w:val="22"/>
          <w:szCs w:val="22"/>
        </w:rPr>
      </w:pPr>
    </w:p>
    <w:p w:rsidR="00CB693E" w:rsidRDefault="00E21F8A">
      <w:pPr>
        <w:pBdr>
          <w:top w:val="nil"/>
          <w:left w:val="nil"/>
          <w:bottom w:val="nil"/>
          <w:right w:val="nil"/>
          <w:between w:val="nil"/>
        </w:pBdr>
        <w:tabs>
          <w:tab w:val="center" w:pos="4419"/>
          <w:tab w:val="right" w:pos="8838"/>
        </w:tabs>
        <w:rPr>
          <w:rFonts w:ascii="Arial" w:eastAsia="Arial" w:hAnsi="Arial" w:cs="Arial"/>
          <w:b/>
          <w:color w:val="000000"/>
          <w:sz w:val="22"/>
          <w:szCs w:val="22"/>
        </w:rPr>
      </w:pPr>
      <w:r>
        <w:rPr>
          <w:rFonts w:ascii="Arial" w:eastAsia="Arial" w:hAnsi="Arial" w:cs="Arial"/>
          <w:b/>
          <w:color w:val="000000"/>
          <w:sz w:val="22"/>
          <w:szCs w:val="22"/>
        </w:rPr>
        <w:t xml:space="preserve">Se adjunta lista de asistencia </w:t>
      </w:r>
    </w:p>
    <w:p w:rsidR="00CB693E" w:rsidRDefault="00CB693E">
      <w:pPr>
        <w:pBdr>
          <w:top w:val="nil"/>
          <w:left w:val="nil"/>
          <w:bottom w:val="nil"/>
          <w:right w:val="nil"/>
          <w:between w:val="nil"/>
        </w:pBdr>
        <w:tabs>
          <w:tab w:val="center" w:pos="4419"/>
          <w:tab w:val="right" w:pos="8838"/>
        </w:tabs>
        <w:rPr>
          <w:rFonts w:ascii="Arial" w:eastAsia="Arial" w:hAnsi="Arial" w:cs="Arial"/>
          <w:b/>
          <w:color w:val="000000"/>
          <w:sz w:val="22"/>
          <w:szCs w:val="22"/>
        </w:rPr>
      </w:pPr>
    </w:p>
    <w:p w:rsidR="00CB693E" w:rsidRDefault="00E21F8A">
      <w:pPr>
        <w:pBdr>
          <w:top w:val="nil"/>
          <w:left w:val="nil"/>
          <w:bottom w:val="nil"/>
          <w:right w:val="nil"/>
          <w:between w:val="nil"/>
        </w:pBdr>
        <w:tabs>
          <w:tab w:val="center" w:pos="4419"/>
          <w:tab w:val="right" w:pos="8838"/>
        </w:tabs>
        <w:jc w:val="both"/>
        <w:rPr>
          <w:color w:val="000000"/>
        </w:rPr>
      </w:pPr>
      <w:r>
        <w:rPr>
          <w:rFonts w:ascii="Arial" w:eastAsia="Arial" w:hAnsi="Arial" w:cs="Arial"/>
          <w:b/>
          <w:color w:val="000000"/>
          <w:sz w:val="22"/>
          <w:szCs w:val="22"/>
        </w:rPr>
        <w:t xml:space="preserve">Nota: </w:t>
      </w:r>
      <w:r>
        <w:rPr>
          <w:rFonts w:ascii="Open Sans" w:eastAsia="Open Sans" w:hAnsi="Open Sans" w:cs="Open Sans"/>
          <w:color w:val="000000"/>
          <w:sz w:val="16"/>
          <w:szCs w:val="16"/>
        </w:rPr>
        <w:t xml:space="preserve">Sus datos personales han sido y están siendo tratados conforme con nuestra Política de Tratamiento de Datos Personales. Para mayor información podrá consultar nuestra política en la página web: </w:t>
      </w:r>
      <w:r>
        <w:rPr>
          <w:rFonts w:ascii="Roboto" w:eastAsia="Roboto" w:hAnsi="Roboto" w:cs="Roboto"/>
          <w:color w:val="000000"/>
          <w:sz w:val="16"/>
          <w:szCs w:val="16"/>
        </w:rPr>
        <w:t>https://www1.upme.gov.co/Entornoinstitucional/Documents/Anexo_</w:t>
      </w:r>
      <w:r>
        <w:rPr>
          <w:rFonts w:ascii="Roboto" w:eastAsia="Roboto" w:hAnsi="Roboto" w:cs="Roboto"/>
          <w:color w:val="000000"/>
          <w:sz w:val="16"/>
          <w:szCs w:val="16"/>
        </w:rPr>
        <w:t>res_426_2017_Politica_tratamiento_datos_personales.pdf</w:t>
      </w:r>
      <w:r>
        <w:rPr>
          <w:rFonts w:ascii="Open Sans" w:eastAsia="Open Sans" w:hAnsi="Open Sans" w:cs="Open Sans"/>
          <w:color w:val="000000"/>
          <w:sz w:val="16"/>
          <w:szCs w:val="16"/>
        </w:rPr>
        <w:t xml:space="preserve"> </w:t>
      </w:r>
    </w:p>
    <w:p w:rsidR="00CB693E" w:rsidRDefault="00CB693E">
      <w:pPr>
        <w:pBdr>
          <w:top w:val="nil"/>
          <w:left w:val="nil"/>
          <w:bottom w:val="nil"/>
          <w:right w:val="nil"/>
          <w:between w:val="nil"/>
        </w:pBdr>
        <w:tabs>
          <w:tab w:val="center" w:pos="4419"/>
          <w:tab w:val="right" w:pos="8838"/>
        </w:tabs>
        <w:jc w:val="both"/>
        <w:rPr>
          <w:color w:val="000000"/>
          <w:sz w:val="22"/>
          <w:szCs w:val="22"/>
        </w:rPr>
      </w:pPr>
    </w:p>
    <w:p w:rsidR="00CB693E" w:rsidRDefault="00E21F8A">
      <w:pPr>
        <w:pBdr>
          <w:top w:val="nil"/>
          <w:left w:val="nil"/>
          <w:bottom w:val="nil"/>
          <w:right w:val="nil"/>
          <w:between w:val="nil"/>
        </w:pBdr>
        <w:tabs>
          <w:tab w:val="center" w:pos="4419"/>
          <w:tab w:val="right" w:pos="8838"/>
        </w:tabs>
        <w:jc w:val="center"/>
        <w:rPr>
          <w:color w:val="000000"/>
        </w:rPr>
      </w:pPr>
      <w:r>
        <w:rPr>
          <w:rFonts w:ascii="Arial" w:eastAsia="Arial" w:hAnsi="Arial" w:cs="Arial"/>
          <w:b/>
          <w:color w:val="000000"/>
          <w:sz w:val="22"/>
          <w:szCs w:val="22"/>
        </w:rPr>
        <w:t>OBJETIVO DE LA REUNIÓN:</w:t>
      </w:r>
    </w:p>
    <w:p w:rsidR="00CB693E" w:rsidRDefault="00CB693E">
      <w:pPr>
        <w:pBdr>
          <w:top w:val="nil"/>
          <w:left w:val="nil"/>
          <w:bottom w:val="nil"/>
          <w:right w:val="nil"/>
          <w:between w:val="nil"/>
        </w:pBdr>
        <w:tabs>
          <w:tab w:val="center" w:pos="4419"/>
          <w:tab w:val="right" w:pos="8838"/>
        </w:tabs>
        <w:jc w:val="both"/>
        <w:rPr>
          <w:rFonts w:ascii="Arial" w:eastAsia="Arial" w:hAnsi="Arial" w:cs="Arial"/>
          <w:color w:val="000000"/>
          <w:sz w:val="22"/>
          <w:szCs w:val="22"/>
        </w:rPr>
      </w:pPr>
    </w:p>
    <w:p w:rsidR="00CB693E" w:rsidRDefault="00E21F8A">
      <w:pPr>
        <w:pBdr>
          <w:top w:val="nil"/>
          <w:left w:val="nil"/>
          <w:bottom w:val="nil"/>
          <w:right w:val="nil"/>
          <w:between w:val="nil"/>
        </w:pBdr>
        <w:rPr>
          <w:color w:val="000000"/>
          <w:sz w:val="24"/>
          <w:szCs w:val="24"/>
        </w:rPr>
      </w:pPr>
      <w:r>
        <w:rPr>
          <w:rFonts w:ascii="Arial" w:eastAsia="Arial" w:hAnsi="Arial" w:cs="Arial"/>
          <w:color w:val="000000"/>
          <w:sz w:val="22"/>
          <w:szCs w:val="22"/>
        </w:rPr>
        <w:t>Comité Asesor del Planeamiento de la Transmisión - CAPT No. 199</w:t>
      </w:r>
    </w:p>
    <w:p w:rsidR="00CB693E" w:rsidRDefault="00CB693E">
      <w:pPr>
        <w:pBdr>
          <w:top w:val="nil"/>
          <w:left w:val="nil"/>
          <w:bottom w:val="nil"/>
          <w:right w:val="nil"/>
          <w:between w:val="nil"/>
        </w:pBdr>
        <w:tabs>
          <w:tab w:val="center" w:pos="4419"/>
          <w:tab w:val="right" w:pos="8838"/>
        </w:tabs>
        <w:jc w:val="center"/>
        <w:rPr>
          <w:rFonts w:ascii="Arial" w:eastAsia="Arial" w:hAnsi="Arial" w:cs="Arial"/>
          <w:b/>
          <w:color w:val="000000"/>
          <w:sz w:val="22"/>
          <w:szCs w:val="22"/>
        </w:rPr>
      </w:pPr>
    </w:p>
    <w:p w:rsidR="00CB693E" w:rsidRDefault="00E21F8A">
      <w:pPr>
        <w:pBdr>
          <w:top w:val="nil"/>
          <w:left w:val="nil"/>
          <w:bottom w:val="nil"/>
          <w:right w:val="nil"/>
          <w:between w:val="nil"/>
        </w:pBdr>
        <w:tabs>
          <w:tab w:val="center" w:pos="4419"/>
          <w:tab w:val="right" w:pos="8838"/>
        </w:tabs>
        <w:jc w:val="center"/>
        <w:rPr>
          <w:color w:val="000000"/>
        </w:rPr>
      </w:pPr>
      <w:r>
        <w:rPr>
          <w:rFonts w:ascii="Arial" w:eastAsia="Arial" w:hAnsi="Arial" w:cs="Arial"/>
          <w:b/>
          <w:color w:val="000000"/>
          <w:sz w:val="22"/>
          <w:szCs w:val="22"/>
        </w:rPr>
        <w:t>ORDEN DEL DÍA</w:t>
      </w:r>
    </w:p>
    <w:p w:rsidR="00CB693E" w:rsidRDefault="00CB693E">
      <w:pPr>
        <w:pBdr>
          <w:top w:val="nil"/>
          <w:left w:val="nil"/>
          <w:bottom w:val="nil"/>
          <w:right w:val="nil"/>
          <w:between w:val="nil"/>
        </w:pBdr>
        <w:tabs>
          <w:tab w:val="center" w:pos="4419"/>
          <w:tab w:val="right" w:pos="8838"/>
        </w:tabs>
        <w:rPr>
          <w:rFonts w:ascii="Arial" w:eastAsia="Arial" w:hAnsi="Arial" w:cs="Arial"/>
          <w:b/>
          <w:color w:val="000000"/>
          <w:sz w:val="22"/>
          <w:szCs w:val="22"/>
        </w:rPr>
      </w:pPr>
    </w:p>
    <w:p w:rsidR="00CB693E" w:rsidRDefault="00E21F8A">
      <w:pPr>
        <w:numPr>
          <w:ilvl w:val="0"/>
          <w:numId w:val="3"/>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Verificación del quórum</w:t>
      </w:r>
    </w:p>
    <w:p w:rsidR="00CB693E" w:rsidRDefault="00CB693E">
      <w:pPr>
        <w:pBdr>
          <w:top w:val="nil"/>
          <w:left w:val="nil"/>
          <w:bottom w:val="nil"/>
          <w:right w:val="nil"/>
          <w:between w:val="nil"/>
        </w:pBdr>
        <w:tabs>
          <w:tab w:val="left" w:pos="284"/>
          <w:tab w:val="center" w:pos="4419"/>
          <w:tab w:val="right" w:pos="8838"/>
        </w:tabs>
        <w:ind w:left="2062"/>
        <w:jc w:val="both"/>
        <w:rPr>
          <w:rFonts w:ascii="Arial" w:eastAsia="Arial" w:hAnsi="Arial" w:cs="Arial"/>
          <w:color w:val="000000"/>
          <w:sz w:val="22"/>
          <w:szCs w:val="22"/>
        </w:rPr>
      </w:pPr>
    </w:p>
    <w:p w:rsidR="00CB693E" w:rsidRDefault="00E21F8A">
      <w:pPr>
        <w:numPr>
          <w:ilvl w:val="0"/>
          <w:numId w:val="3"/>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 xml:space="preserve">Acta anterior Comité No. 198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p>
    <w:p w:rsidR="00CB693E" w:rsidRDefault="00E21F8A">
      <w:pPr>
        <w:numPr>
          <w:ilvl w:val="0"/>
          <w:numId w:val="3"/>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Informe Comité técnico y regulatorio</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p>
    <w:p w:rsidR="00CB693E" w:rsidRDefault="00E21F8A">
      <w:pPr>
        <w:numPr>
          <w:ilvl w:val="0"/>
          <w:numId w:val="3"/>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 xml:space="preserve">Informe secretaría técnica: </w:t>
      </w:r>
    </w:p>
    <w:p w:rsidR="00CB693E" w:rsidRDefault="00E21F8A">
      <w:pPr>
        <w:pBdr>
          <w:top w:val="nil"/>
          <w:left w:val="nil"/>
          <w:bottom w:val="nil"/>
          <w:right w:val="nil"/>
          <w:between w:val="nil"/>
        </w:pBdr>
        <w:tabs>
          <w:tab w:val="left" w:pos="284"/>
          <w:tab w:val="center" w:pos="4419"/>
          <w:tab w:val="right" w:pos="8838"/>
        </w:tabs>
        <w:ind w:left="2062"/>
        <w:jc w:val="both"/>
        <w:rPr>
          <w:rFonts w:ascii="Arial" w:eastAsia="Arial" w:hAnsi="Arial" w:cs="Arial"/>
          <w:color w:val="000000"/>
          <w:sz w:val="22"/>
          <w:szCs w:val="22"/>
        </w:rPr>
      </w:pPr>
      <w:r>
        <w:rPr>
          <w:rFonts w:ascii="Arial" w:eastAsia="Arial" w:hAnsi="Arial" w:cs="Arial"/>
          <w:color w:val="000000"/>
          <w:sz w:val="22"/>
          <w:szCs w:val="22"/>
        </w:rPr>
        <w:t xml:space="preserve">Plan de expansión de Transmisión (2022-2037) (2023-2038) </w:t>
      </w:r>
    </w:p>
    <w:p w:rsidR="00CB693E" w:rsidRDefault="00CB693E">
      <w:pPr>
        <w:pBdr>
          <w:top w:val="nil"/>
          <w:left w:val="nil"/>
          <w:bottom w:val="nil"/>
          <w:right w:val="nil"/>
          <w:between w:val="nil"/>
        </w:pBdr>
        <w:tabs>
          <w:tab w:val="left" w:pos="284"/>
          <w:tab w:val="center" w:pos="4419"/>
          <w:tab w:val="right" w:pos="8838"/>
        </w:tabs>
        <w:ind w:left="2062"/>
        <w:jc w:val="both"/>
        <w:rPr>
          <w:rFonts w:ascii="Arial" w:eastAsia="Arial" w:hAnsi="Arial" w:cs="Arial"/>
          <w:color w:val="000000"/>
          <w:sz w:val="22"/>
          <w:szCs w:val="22"/>
        </w:rPr>
      </w:pPr>
    </w:p>
    <w:p w:rsidR="00CB693E" w:rsidRDefault="00E21F8A">
      <w:pPr>
        <w:numPr>
          <w:ilvl w:val="0"/>
          <w:numId w:val="3"/>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Cambio de FPO de obras de transmisión:</w:t>
      </w:r>
    </w:p>
    <w:p w:rsidR="00CB693E" w:rsidRDefault="00E21F8A">
      <w:pPr>
        <w:pBdr>
          <w:top w:val="nil"/>
          <w:left w:val="nil"/>
          <w:bottom w:val="nil"/>
          <w:right w:val="nil"/>
          <w:between w:val="nil"/>
        </w:pBdr>
        <w:tabs>
          <w:tab w:val="left" w:pos="284"/>
          <w:tab w:val="center" w:pos="4419"/>
          <w:tab w:val="right" w:pos="8838"/>
        </w:tabs>
        <w:ind w:left="2062"/>
        <w:jc w:val="both"/>
        <w:rPr>
          <w:rFonts w:ascii="Arial" w:eastAsia="Arial" w:hAnsi="Arial" w:cs="Arial"/>
          <w:color w:val="000000"/>
          <w:sz w:val="22"/>
          <w:szCs w:val="22"/>
        </w:rPr>
      </w:pPr>
      <w:r>
        <w:rPr>
          <w:rFonts w:ascii="Arial" w:eastAsia="Arial" w:hAnsi="Arial" w:cs="Arial"/>
          <w:color w:val="000000"/>
          <w:sz w:val="22"/>
          <w:szCs w:val="22"/>
        </w:rPr>
        <w:t xml:space="preserve">-Transformador Sogamoso 500/230 </w:t>
      </w:r>
      <w:proofErr w:type="spellStart"/>
      <w:r>
        <w:rPr>
          <w:rFonts w:ascii="Arial" w:eastAsia="Arial" w:hAnsi="Arial" w:cs="Arial"/>
          <w:color w:val="000000"/>
          <w:sz w:val="22"/>
          <w:szCs w:val="22"/>
        </w:rPr>
        <w:t>kV</w:t>
      </w:r>
      <w:proofErr w:type="spellEnd"/>
    </w:p>
    <w:p w:rsidR="00CB693E" w:rsidRDefault="00E21F8A">
      <w:pPr>
        <w:pBdr>
          <w:top w:val="nil"/>
          <w:left w:val="nil"/>
          <w:bottom w:val="nil"/>
          <w:right w:val="nil"/>
          <w:between w:val="nil"/>
        </w:pBdr>
        <w:tabs>
          <w:tab w:val="left" w:pos="284"/>
          <w:tab w:val="center" w:pos="4419"/>
          <w:tab w:val="right" w:pos="8838"/>
        </w:tabs>
        <w:ind w:left="2062"/>
        <w:jc w:val="both"/>
        <w:rPr>
          <w:rFonts w:ascii="Arial" w:eastAsia="Arial" w:hAnsi="Arial" w:cs="Arial"/>
          <w:color w:val="000000"/>
          <w:sz w:val="22"/>
          <w:szCs w:val="22"/>
        </w:rPr>
      </w:pPr>
      <w:r>
        <w:rPr>
          <w:rFonts w:ascii="Arial" w:eastAsia="Arial" w:hAnsi="Arial" w:cs="Arial"/>
          <w:color w:val="000000"/>
          <w:sz w:val="22"/>
          <w:szCs w:val="22"/>
        </w:rPr>
        <w:t xml:space="preserve">-Transformador Primavera 500/230 </w:t>
      </w:r>
      <w:proofErr w:type="spellStart"/>
      <w:r>
        <w:rPr>
          <w:rFonts w:ascii="Arial" w:eastAsia="Arial" w:hAnsi="Arial" w:cs="Arial"/>
          <w:color w:val="000000"/>
          <w:sz w:val="22"/>
          <w:szCs w:val="22"/>
        </w:rPr>
        <w:t>kV</w:t>
      </w:r>
      <w:proofErr w:type="spellEnd"/>
    </w:p>
    <w:p w:rsidR="00CB693E" w:rsidRDefault="00E21F8A">
      <w:pPr>
        <w:pBdr>
          <w:top w:val="nil"/>
          <w:left w:val="nil"/>
          <w:bottom w:val="nil"/>
          <w:right w:val="nil"/>
          <w:between w:val="nil"/>
        </w:pBdr>
        <w:tabs>
          <w:tab w:val="left" w:pos="284"/>
          <w:tab w:val="center" w:pos="4419"/>
          <w:tab w:val="right" w:pos="8838"/>
        </w:tabs>
        <w:ind w:left="206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t xml:space="preserve">Bahía 500 </w:t>
      </w:r>
      <w:proofErr w:type="spellStart"/>
      <w:r>
        <w:rPr>
          <w:rFonts w:ascii="Arial" w:eastAsia="Arial" w:hAnsi="Arial" w:cs="Arial"/>
          <w:color w:val="000000"/>
          <w:sz w:val="22"/>
          <w:szCs w:val="22"/>
        </w:rPr>
        <w:t>kV</w:t>
      </w:r>
      <w:proofErr w:type="spellEnd"/>
      <w:r>
        <w:rPr>
          <w:rFonts w:ascii="Arial" w:eastAsia="Arial" w:hAnsi="Arial" w:cs="Arial"/>
          <w:color w:val="000000"/>
          <w:sz w:val="22"/>
          <w:szCs w:val="22"/>
        </w:rPr>
        <w:t xml:space="preserve"> 2° transformador Nueva Esperanza</w:t>
      </w:r>
    </w:p>
    <w:p w:rsidR="00CB693E" w:rsidRDefault="00CB693E">
      <w:pPr>
        <w:pBdr>
          <w:top w:val="nil"/>
          <w:left w:val="nil"/>
          <w:bottom w:val="nil"/>
          <w:right w:val="nil"/>
          <w:between w:val="nil"/>
        </w:pBdr>
        <w:tabs>
          <w:tab w:val="left" w:pos="284"/>
          <w:tab w:val="center" w:pos="4419"/>
          <w:tab w:val="right" w:pos="8838"/>
        </w:tabs>
        <w:ind w:left="2062"/>
        <w:jc w:val="both"/>
        <w:rPr>
          <w:rFonts w:ascii="Arial" w:eastAsia="Arial" w:hAnsi="Arial" w:cs="Arial"/>
          <w:color w:val="000000"/>
          <w:sz w:val="22"/>
          <w:szCs w:val="22"/>
        </w:rPr>
      </w:pPr>
    </w:p>
    <w:p w:rsidR="00CB693E" w:rsidRDefault="00E21F8A">
      <w:pPr>
        <w:numPr>
          <w:ilvl w:val="0"/>
          <w:numId w:val="3"/>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 xml:space="preserve">Informe operativo XM </w:t>
      </w:r>
    </w:p>
    <w:p w:rsidR="00CB693E" w:rsidRDefault="00CB693E">
      <w:pPr>
        <w:pBdr>
          <w:top w:val="nil"/>
          <w:left w:val="nil"/>
          <w:bottom w:val="nil"/>
          <w:right w:val="nil"/>
          <w:between w:val="nil"/>
        </w:pBdr>
        <w:tabs>
          <w:tab w:val="left" w:pos="284"/>
          <w:tab w:val="center" w:pos="4419"/>
          <w:tab w:val="right" w:pos="8838"/>
        </w:tabs>
        <w:ind w:left="2062"/>
        <w:jc w:val="both"/>
        <w:rPr>
          <w:rFonts w:ascii="Arial" w:eastAsia="Arial" w:hAnsi="Arial" w:cs="Arial"/>
          <w:color w:val="000000"/>
          <w:sz w:val="22"/>
          <w:szCs w:val="22"/>
        </w:rPr>
      </w:pPr>
    </w:p>
    <w:p w:rsidR="00CB693E" w:rsidRDefault="00E21F8A">
      <w:pPr>
        <w:numPr>
          <w:ilvl w:val="0"/>
          <w:numId w:val="3"/>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Expansión solicitada y propuesta por los Operadores de Red y transmisores, así como las solicitudes de nivel de tensión 4 pendiente por evaluar.</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p>
    <w:p w:rsidR="00CB693E" w:rsidRDefault="00E21F8A">
      <w:pPr>
        <w:numPr>
          <w:ilvl w:val="0"/>
          <w:numId w:val="3"/>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 xml:space="preserve">Varios </w:t>
      </w:r>
    </w:p>
    <w:p w:rsidR="00CB693E" w:rsidRDefault="00E21F8A">
      <w:pPr>
        <w:pBdr>
          <w:top w:val="nil"/>
          <w:left w:val="nil"/>
          <w:bottom w:val="nil"/>
          <w:right w:val="nil"/>
          <w:between w:val="nil"/>
        </w:pBdr>
        <w:tabs>
          <w:tab w:val="left" w:pos="284"/>
          <w:tab w:val="center" w:pos="4419"/>
          <w:tab w:val="right" w:pos="8838"/>
        </w:tabs>
        <w:ind w:left="2062"/>
        <w:jc w:val="both"/>
        <w:rPr>
          <w:rFonts w:ascii="Arial" w:eastAsia="Arial" w:hAnsi="Arial" w:cs="Arial"/>
          <w:color w:val="000000"/>
          <w:sz w:val="22"/>
          <w:szCs w:val="22"/>
        </w:rPr>
      </w:pPr>
      <w:r>
        <w:rPr>
          <w:rFonts w:ascii="Arial" w:eastAsia="Arial" w:hAnsi="Arial" w:cs="Arial"/>
          <w:color w:val="000000"/>
          <w:sz w:val="22"/>
          <w:szCs w:val="22"/>
        </w:rPr>
        <w:t>Reactivación comité ambiental</w:t>
      </w:r>
    </w:p>
    <w:p w:rsidR="00CB693E" w:rsidRDefault="00E21F8A">
      <w:pPr>
        <w:pBdr>
          <w:top w:val="nil"/>
          <w:left w:val="nil"/>
          <w:bottom w:val="nil"/>
          <w:right w:val="nil"/>
          <w:between w:val="nil"/>
        </w:pBdr>
        <w:tabs>
          <w:tab w:val="left" w:pos="284"/>
          <w:tab w:val="center" w:pos="4419"/>
          <w:tab w:val="right" w:pos="8838"/>
        </w:tabs>
        <w:ind w:left="2062"/>
        <w:jc w:val="both"/>
        <w:rPr>
          <w:rFonts w:ascii="Arial" w:eastAsia="Arial" w:hAnsi="Arial" w:cs="Arial"/>
          <w:b/>
          <w:color w:val="000000"/>
          <w:sz w:val="22"/>
          <w:szCs w:val="22"/>
        </w:rPr>
      </w:pPr>
      <w:r>
        <w:rPr>
          <w:rFonts w:ascii="Arial" w:eastAsia="Arial" w:hAnsi="Arial" w:cs="Arial"/>
          <w:color w:val="000000"/>
          <w:sz w:val="22"/>
          <w:szCs w:val="22"/>
        </w:rPr>
        <w:t xml:space="preserve">propuesta de mejora R75 </w:t>
      </w:r>
      <w:r>
        <w:rPr>
          <w:rFonts w:ascii="Arial" w:eastAsia="Arial" w:hAnsi="Arial" w:cs="Arial"/>
          <w:color w:val="FF0000"/>
          <w:sz w:val="22"/>
          <w:szCs w:val="22"/>
        </w:rPr>
        <w:t xml:space="preserve"> </w:t>
      </w:r>
    </w:p>
    <w:p w:rsidR="00CB693E" w:rsidRDefault="00CB693E">
      <w:pPr>
        <w:pBdr>
          <w:top w:val="nil"/>
          <w:left w:val="nil"/>
          <w:bottom w:val="nil"/>
          <w:right w:val="nil"/>
          <w:between w:val="nil"/>
        </w:pBdr>
        <w:jc w:val="center"/>
        <w:rPr>
          <w:rFonts w:ascii="Arial" w:eastAsia="Arial" w:hAnsi="Arial" w:cs="Arial"/>
          <w:b/>
          <w:color w:val="000000"/>
          <w:sz w:val="22"/>
          <w:szCs w:val="22"/>
        </w:rPr>
      </w:pPr>
      <w:bookmarkStart w:id="0" w:name="_heading=h.gjdgxs" w:colFirst="0" w:colLast="0"/>
      <w:bookmarkEnd w:id="0"/>
    </w:p>
    <w:p w:rsidR="00CB693E" w:rsidRDefault="00E21F8A">
      <w:pPr>
        <w:pBdr>
          <w:top w:val="nil"/>
          <w:left w:val="nil"/>
          <w:bottom w:val="nil"/>
          <w:right w:val="nil"/>
          <w:between w:val="nil"/>
        </w:pBdr>
        <w:jc w:val="center"/>
        <w:rPr>
          <w:color w:val="000000"/>
        </w:rPr>
      </w:pPr>
      <w:r>
        <w:rPr>
          <w:rFonts w:ascii="Arial" w:eastAsia="Arial" w:hAnsi="Arial" w:cs="Arial"/>
          <w:b/>
          <w:color w:val="000000"/>
          <w:sz w:val="22"/>
          <w:szCs w:val="22"/>
        </w:rPr>
        <w:t>DESARROLLO</w:t>
      </w:r>
    </w:p>
    <w:p w:rsidR="00CB693E" w:rsidRDefault="00CB693E">
      <w:pPr>
        <w:pBdr>
          <w:top w:val="nil"/>
          <w:left w:val="nil"/>
          <w:bottom w:val="nil"/>
          <w:right w:val="nil"/>
          <w:between w:val="nil"/>
        </w:pBdr>
        <w:rPr>
          <w:rFonts w:ascii="Arial" w:eastAsia="Arial" w:hAnsi="Arial" w:cs="Arial"/>
          <w:b/>
          <w:color w:val="000000"/>
          <w:sz w:val="22"/>
          <w:szCs w:val="22"/>
        </w:rPr>
      </w:pPr>
    </w:p>
    <w:p w:rsidR="00CB693E" w:rsidRDefault="00E21F8A">
      <w:pPr>
        <w:numPr>
          <w:ilvl w:val="0"/>
          <w:numId w:val="11"/>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b/>
          <w:color w:val="000000"/>
          <w:sz w:val="22"/>
          <w:szCs w:val="22"/>
        </w:rPr>
        <w:t xml:space="preserve">Acta anterior Comité No. 198 </w:t>
      </w:r>
      <w:r>
        <w:rPr>
          <w:rFonts w:ascii="Arial" w:eastAsia="Arial" w:hAnsi="Arial" w:cs="Arial"/>
          <w:color w:val="000000"/>
          <w:sz w:val="22"/>
          <w:szCs w:val="22"/>
        </w:rPr>
        <w:t>–</w:t>
      </w:r>
      <w:r>
        <w:rPr>
          <w:rFonts w:ascii="Arial" w:eastAsia="Arial" w:hAnsi="Arial" w:cs="Arial"/>
          <w:color w:val="FF0000"/>
          <w:sz w:val="22"/>
          <w:szCs w:val="22"/>
        </w:rPr>
        <w:t xml:space="preserve"> </w:t>
      </w:r>
      <w:r>
        <w:rPr>
          <w:rFonts w:ascii="Arial" w:eastAsia="Arial" w:hAnsi="Arial" w:cs="Arial"/>
          <w:sz w:val="22"/>
          <w:szCs w:val="22"/>
        </w:rPr>
        <w:t>Se aprueba sin comentarios por parte del comité</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p>
    <w:p w:rsidR="00CB693E" w:rsidRDefault="00E21F8A">
      <w:pPr>
        <w:numPr>
          <w:ilvl w:val="0"/>
          <w:numId w:val="11"/>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b/>
          <w:color w:val="000000"/>
          <w:sz w:val="22"/>
          <w:szCs w:val="22"/>
        </w:rPr>
        <w:t>Informe Comité técnico y regulatorio</w:t>
      </w:r>
      <w:r>
        <w:rPr>
          <w:rFonts w:ascii="Arial" w:eastAsia="Arial" w:hAnsi="Arial" w:cs="Arial"/>
          <w:sz w:val="22"/>
          <w:szCs w:val="22"/>
        </w:rPr>
        <w:t xml:space="preserve"> Se describe la información presentada por </w:t>
      </w:r>
      <w:proofErr w:type="spellStart"/>
      <w:r>
        <w:rPr>
          <w:rFonts w:ascii="Arial" w:eastAsia="Arial" w:hAnsi="Arial" w:cs="Arial"/>
          <w:sz w:val="22"/>
          <w:szCs w:val="22"/>
        </w:rPr>
        <w:t>Enel</w:t>
      </w:r>
      <w:proofErr w:type="spellEnd"/>
      <w:r>
        <w:rPr>
          <w:rFonts w:ascii="Arial" w:eastAsia="Arial" w:hAnsi="Arial" w:cs="Arial"/>
          <w:sz w:val="22"/>
          <w:szCs w:val="22"/>
        </w:rPr>
        <w:t xml:space="preserve"> en la mesa técnica regulatoria, consideraciones para el cambio de la FPO Bahía </w:t>
      </w:r>
      <w:proofErr w:type="spellStart"/>
      <w:r>
        <w:rPr>
          <w:rFonts w:ascii="Arial" w:eastAsia="Arial" w:hAnsi="Arial" w:cs="Arial"/>
          <w:sz w:val="22"/>
          <w:szCs w:val="22"/>
        </w:rPr>
        <w:t>Nva</w:t>
      </w:r>
      <w:proofErr w:type="spellEnd"/>
      <w:r>
        <w:rPr>
          <w:rFonts w:ascii="Arial" w:eastAsia="Arial" w:hAnsi="Arial" w:cs="Arial"/>
          <w:sz w:val="22"/>
          <w:szCs w:val="22"/>
        </w:rPr>
        <w:t xml:space="preserve"> Esperanza</w:t>
      </w:r>
      <w:r>
        <w:rPr>
          <w:rFonts w:ascii="Arial" w:eastAsia="Arial" w:hAnsi="Arial" w:cs="Arial"/>
          <w:sz w:val="22"/>
          <w:szCs w:val="22"/>
        </w:rPr>
        <w:t>, donde se recomienda continuar con la alternativa 1, la cual es realizar la instalación del segundo transformador en el espacio inicialmente asignado para el T2, se recomienda una FPO a Dic/2026.</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r>
        <w:rPr>
          <w:rFonts w:ascii="Arial" w:eastAsia="Arial" w:hAnsi="Arial" w:cs="Arial"/>
          <w:sz w:val="22"/>
          <w:szCs w:val="22"/>
        </w:rPr>
        <w:t xml:space="preserve">Sopó 230 </w:t>
      </w:r>
      <w:proofErr w:type="spellStart"/>
      <w:r>
        <w:rPr>
          <w:rFonts w:ascii="Arial" w:eastAsia="Arial" w:hAnsi="Arial" w:cs="Arial"/>
          <w:sz w:val="22"/>
          <w:szCs w:val="22"/>
        </w:rPr>
        <w:t>kV</w:t>
      </w:r>
      <w:proofErr w:type="spellEnd"/>
      <w:r>
        <w:rPr>
          <w:rFonts w:ascii="Arial" w:eastAsia="Arial" w:hAnsi="Arial" w:cs="Arial"/>
          <w:sz w:val="22"/>
          <w:szCs w:val="22"/>
        </w:rPr>
        <w:t xml:space="preserve">/115kV ENEL indica que la subestación quedaría </w:t>
      </w:r>
      <w:r>
        <w:rPr>
          <w:rFonts w:ascii="Arial" w:eastAsia="Arial" w:hAnsi="Arial" w:cs="Arial"/>
          <w:sz w:val="22"/>
          <w:szCs w:val="22"/>
        </w:rPr>
        <w:t xml:space="preserve">ubicada lo más cerca posible al doble circuito </w:t>
      </w:r>
      <w:proofErr w:type="spellStart"/>
      <w:r>
        <w:rPr>
          <w:rFonts w:ascii="Arial" w:eastAsia="Arial" w:hAnsi="Arial" w:cs="Arial"/>
          <w:sz w:val="22"/>
          <w:szCs w:val="22"/>
        </w:rPr>
        <w:t>Guavio</w:t>
      </w:r>
      <w:proofErr w:type="spellEnd"/>
      <w:r>
        <w:rPr>
          <w:rFonts w:ascii="Arial" w:eastAsia="Arial" w:hAnsi="Arial" w:cs="Arial"/>
          <w:sz w:val="22"/>
          <w:szCs w:val="22"/>
        </w:rPr>
        <w:t xml:space="preserve">-Circo 230 </w:t>
      </w:r>
      <w:proofErr w:type="spellStart"/>
      <w:r>
        <w:rPr>
          <w:rFonts w:ascii="Arial" w:eastAsia="Arial" w:hAnsi="Arial" w:cs="Arial"/>
          <w:sz w:val="22"/>
          <w:szCs w:val="22"/>
        </w:rPr>
        <w:t>kV</w:t>
      </w:r>
      <w:proofErr w:type="spellEnd"/>
      <w:r>
        <w:rPr>
          <w:rFonts w:ascii="Arial" w:eastAsia="Arial" w:hAnsi="Arial" w:cs="Arial"/>
          <w:sz w:val="22"/>
          <w:szCs w:val="22"/>
        </w:rPr>
        <w:t xml:space="preserve"> de Enlaza GEB por la vía Sopo- La Calera, resaltando que ya tienen identificado el lote y que están en validación del uso del suelo. Desde allí en su primera etapa, saldrán dos líneas de 11</w:t>
      </w:r>
      <w:r>
        <w:rPr>
          <w:rFonts w:ascii="Arial" w:eastAsia="Arial" w:hAnsi="Arial" w:cs="Arial"/>
          <w:sz w:val="22"/>
          <w:szCs w:val="22"/>
        </w:rPr>
        <w:t>5kV una hacia la subestación Gran Sabana y otra hacia la subestación Bochica.</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r>
        <w:rPr>
          <w:rFonts w:ascii="Arial" w:eastAsia="Arial" w:hAnsi="Arial" w:cs="Arial"/>
          <w:sz w:val="22"/>
          <w:szCs w:val="22"/>
        </w:rPr>
        <w:t xml:space="preserve">Corzo 500/115 </w:t>
      </w:r>
      <w:proofErr w:type="spellStart"/>
      <w:r>
        <w:rPr>
          <w:rFonts w:ascii="Arial" w:eastAsia="Arial" w:hAnsi="Arial" w:cs="Arial"/>
          <w:sz w:val="22"/>
          <w:szCs w:val="22"/>
        </w:rPr>
        <w:t>kV</w:t>
      </w:r>
      <w:proofErr w:type="spellEnd"/>
      <w:r>
        <w:rPr>
          <w:rFonts w:ascii="Arial" w:eastAsia="Arial" w:hAnsi="Arial" w:cs="Arial"/>
          <w:sz w:val="22"/>
          <w:szCs w:val="22"/>
        </w:rPr>
        <w:t xml:space="preserve"> ENEL indica que la subestación Corzo 500/115 </w:t>
      </w:r>
      <w:proofErr w:type="spellStart"/>
      <w:r>
        <w:rPr>
          <w:rFonts w:ascii="Arial" w:eastAsia="Arial" w:hAnsi="Arial" w:cs="Arial"/>
          <w:sz w:val="22"/>
          <w:szCs w:val="22"/>
        </w:rPr>
        <w:t>kV</w:t>
      </w:r>
      <w:proofErr w:type="spellEnd"/>
      <w:r>
        <w:rPr>
          <w:rFonts w:ascii="Arial" w:eastAsia="Arial" w:hAnsi="Arial" w:cs="Arial"/>
          <w:sz w:val="22"/>
          <w:szCs w:val="22"/>
        </w:rPr>
        <w:t xml:space="preserve">, propone transformar directamente a nivel del STR, el diseño de esta subestación sería similar a la subestación </w:t>
      </w:r>
      <w:r>
        <w:rPr>
          <w:rFonts w:ascii="Arial" w:eastAsia="Arial" w:hAnsi="Arial" w:cs="Arial"/>
          <w:sz w:val="22"/>
          <w:szCs w:val="22"/>
        </w:rPr>
        <w:t>Nueva Esperanza 500/115kV, se proponen 3 etapas.</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r>
        <w:rPr>
          <w:rFonts w:ascii="Arial" w:eastAsia="Arial" w:hAnsi="Arial" w:cs="Arial"/>
          <w:sz w:val="22"/>
          <w:szCs w:val="22"/>
        </w:rPr>
        <w:t>Se comenta sobre el informe operativo de XM, que presentó los siguientes temas: Capacidad y nivel de corto circuito en subestaciones del SIN, Riesgos operativos asociados a configuración de subestaciones, M</w:t>
      </w:r>
      <w:r>
        <w:rPr>
          <w:rFonts w:ascii="Arial" w:eastAsia="Arial" w:hAnsi="Arial" w:cs="Arial"/>
          <w:sz w:val="22"/>
          <w:szCs w:val="22"/>
        </w:rPr>
        <w:t>etodología de evaluación técnico económica presentada por XM.</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r>
        <w:rPr>
          <w:rFonts w:ascii="Arial" w:eastAsia="Arial" w:hAnsi="Arial" w:cs="Arial"/>
          <w:sz w:val="22"/>
          <w:szCs w:val="22"/>
        </w:rPr>
        <w:t xml:space="preserve">La mesa técnica recomienda a la UPME revisar los siguientes proyectos para definir si se puede tratar como proyectos de urgencia •Sopó 230 Kv/115 </w:t>
      </w:r>
      <w:proofErr w:type="spellStart"/>
      <w:r>
        <w:rPr>
          <w:rFonts w:ascii="Arial" w:eastAsia="Arial" w:hAnsi="Arial" w:cs="Arial"/>
          <w:sz w:val="22"/>
          <w:szCs w:val="22"/>
        </w:rPr>
        <w:t>kV</w:t>
      </w:r>
      <w:proofErr w:type="spellEnd"/>
      <w:r>
        <w:rPr>
          <w:rFonts w:ascii="Arial" w:eastAsia="Arial" w:hAnsi="Arial" w:cs="Arial"/>
          <w:sz w:val="22"/>
          <w:szCs w:val="22"/>
        </w:rPr>
        <w:t xml:space="preserve"> •Corzo por fases Obras definidas, pero que aún no tienen promotor •Transformador Nueva Esperanza 2 •Subesta</w:t>
      </w:r>
      <w:r>
        <w:rPr>
          <w:rFonts w:ascii="Arial" w:eastAsia="Arial" w:hAnsi="Arial" w:cs="Arial"/>
          <w:sz w:val="22"/>
          <w:szCs w:val="22"/>
        </w:rPr>
        <w:t xml:space="preserve">ción Carreto 500 </w:t>
      </w:r>
      <w:proofErr w:type="spellStart"/>
      <w:r>
        <w:rPr>
          <w:rFonts w:ascii="Arial" w:eastAsia="Arial" w:hAnsi="Arial" w:cs="Arial"/>
          <w:sz w:val="22"/>
          <w:szCs w:val="22"/>
        </w:rPr>
        <w:t>kV</w:t>
      </w:r>
      <w:proofErr w:type="spellEnd"/>
      <w:r>
        <w:rPr>
          <w:rFonts w:ascii="Arial" w:eastAsia="Arial" w:hAnsi="Arial" w:cs="Arial"/>
          <w:sz w:val="22"/>
          <w:szCs w:val="22"/>
        </w:rPr>
        <w:t xml:space="preserve"> •Subestación Alcaraván 230/115kV.</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p>
    <w:p w:rsidR="00CB693E" w:rsidRDefault="00E21F8A">
      <w:pPr>
        <w:tabs>
          <w:tab w:val="left" w:pos="284"/>
          <w:tab w:val="center" w:pos="4419"/>
          <w:tab w:val="right" w:pos="8838"/>
        </w:tabs>
        <w:ind w:left="502"/>
        <w:jc w:val="both"/>
        <w:rPr>
          <w:rFonts w:ascii="Arial" w:eastAsia="Arial" w:hAnsi="Arial" w:cs="Arial"/>
          <w:sz w:val="22"/>
          <w:szCs w:val="22"/>
        </w:rPr>
      </w:pPr>
      <w:r>
        <w:rPr>
          <w:rFonts w:ascii="Arial" w:eastAsia="Arial" w:hAnsi="Arial" w:cs="Arial"/>
          <w:color w:val="FF0000"/>
          <w:sz w:val="22"/>
          <w:szCs w:val="22"/>
        </w:rPr>
        <w:t xml:space="preserve"> </w:t>
      </w:r>
    </w:p>
    <w:p w:rsidR="00CB693E" w:rsidRDefault="00E21F8A">
      <w:pPr>
        <w:numPr>
          <w:ilvl w:val="0"/>
          <w:numId w:val="11"/>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 xml:space="preserve">Informe secretaría técnica: </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color w:val="000000"/>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b/>
          <w:color w:val="FF0000"/>
          <w:sz w:val="22"/>
          <w:szCs w:val="22"/>
        </w:rPr>
      </w:pPr>
      <w:bookmarkStart w:id="1" w:name="_heading=h.1fob9te" w:colFirst="0" w:colLast="0"/>
      <w:bookmarkEnd w:id="1"/>
      <w:r>
        <w:rPr>
          <w:rFonts w:ascii="Arial" w:eastAsia="Arial" w:hAnsi="Arial" w:cs="Arial"/>
          <w:b/>
          <w:color w:val="000000"/>
          <w:sz w:val="22"/>
          <w:szCs w:val="22"/>
        </w:rPr>
        <w:t xml:space="preserve">Plan de expansión de Transmisión (2022-2037) (2023-2038) </w:t>
      </w:r>
    </w:p>
    <w:p w:rsidR="00CB693E" w:rsidRDefault="00E21F8A">
      <w:pPr>
        <w:tabs>
          <w:tab w:val="left" w:pos="284"/>
          <w:tab w:val="center" w:pos="4419"/>
          <w:tab w:val="right" w:pos="8838"/>
        </w:tabs>
        <w:spacing w:before="240" w:after="240"/>
        <w:jc w:val="both"/>
        <w:rPr>
          <w:rFonts w:ascii="Arial" w:eastAsia="Arial" w:hAnsi="Arial" w:cs="Arial"/>
          <w:sz w:val="22"/>
          <w:szCs w:val="22"/>
        </w:rPr>
      </w:pPr>
      <w:r>
        <w:rPr>
          <w:rFonts w:ascii="Arial" w:eastAsia="Arial" w:hAnsi="Arial" w:cs="Arial"/>
          <w:sz w:val="22"/>
          <w:szCs w:val="22"/>
        </w:rPr>
        <w:t>En el marco de nuestro compromiso continuo con la mejora y confiabilidad del sistema eléctrico, se ha dado una presentación a los proyectos clave que cuentan con luz verde del Plan de Expansión 2022 – 2037.</w:t>
      </w:r>
    </w:p>
    <w:p w:rsidR="00CB693E" w:rsidRDefault="00E21F8A">
      <w:pPr>
        <w:tabs>
          <w:tab w:val="left" w:pos="284"/>
          <w:tab w:val="center" w:pos="4419"/>
          <w:tab w:val="right" w:pos="8838"/>
        </w:tabs>
        <w:spacing w:before="240" w:after="240"/>
        <w:jc w:val="both"/>
        <w:rPr>
          <w:rFonts w:ascii="Arial" w:eastAsia="Arial" w:hAnsi="Arial" w:cs="Arial"/>
          <w:sz w:val="22"/>
          <w:szCs w:val="22"/>
        </w:rPr>
      </w:pPr>
      <w:r>
        <w:rPr>
          <w:rFonts w:ascii="Arial" w:eastAsia="Arial" w:hAnsi="Arial" w:cs="Arial"/>
          <w:sz w:val="22"/>
          <w:szCs w:val="22"/>
        </w:rPr>
        <w:t xml:space="preserve">El "Segundo circuito de </w:t>
      </w:r>
      <w:proofErr w:type="spellStart"/>
      <w:r>
        <w:rPr>
          <w:rFonts w:ascii="Arial" w:eastAsia="Arial" w:hAnsi="Arial" w:cs="Arial"/>
          <w:sz w:val="22"/>
          <w:szCs w:val="22"/>
        </w:rPr>
        <w:t>Cerromatoso</w:t>
      </w:r>
      <w:proofErr w:type="spellEnd"/>
      <w:r>
        <w:rPr>
          <w:rFonts w:ascii="Arial" w:eastAsia="Arial" w:hAnsi="Arial" w:cs="Arial"/>
          <w:sz w:val="22"/>
          <w:szCs w:val="22"/>
        </w:rPr>
        <w:t>-Sahagún-</w:t>
      </w:r>
      <w:proofErr w:type="spellStart"/>
      <w:r>
        <w:rPr>
          <w:rFonts w:ascii="Arial" w:eastAsia="Arial" w:hAnsi="Arial" w:cs="Arial"/>
          <w:sz w:val="22"/>
          <w:szCs w:val="22"/>
        </w:rPr>
        <w:t>Chinú</w:t>
      </w:r>
      <w:proofErr w:type="spellEnd"/>
      <w:r>
        <w:rPr>
          <w:rFonts w:ascii="Arial" w:eastAsia="Arial" w:hAnsi="Arial" w:cs="Arial"/>
          <w:sz w:val="22"/>
          <w:szCs w:val="22"/>
        </w:rPr>
        <w:t xml:space="preserve"> 500 </w:t>
      </w:r>
      <w:proofErr w:type="spellStart"/>
      <w:r>
        <w:rPr>
          <w:rFonts w:ascii="Arial" w:eastAsia="Arial" w:hAnsi="Arial" w:cs="Arial"/>
          <w:sz w:val="22"/>
          <w:szCs w:val="22"/>
        </w:rPr>
        <w:t>kV</w:t>
      </w:r>
      <w:proofErr w:type="spellEnd"/>
      <w:r>
        <w:rPr>
          <w:rFonts w:ascii="Arial" w:eastAsia="Arial" w:hAnsi="Arial" w:cs="Arial"/>
          <w:sz w:val="22"/>
          <w:szCs w:val="22"/>
        </w:rPr>
        <w:t>" se encuentra en desarrollo para fortalecer la confiabilidad del sistema, con una fecha probable de operación (FPO) estimada para noviembre de 2024</w:t>
      </w:r>
    </w:p>
    <w:p w:rsidR="00CB693E" w:rsidRDefault="00E21F8A">
      <w:pPr>
        <w:tabs>
          <w:tab w:val="left" w:pos="284"/>
          <w:tab w:val="center" w:pos="4419"/>
          <w:tab w:val="right" w:pos="8838"/>
        </w:tabs>
        <w:spacing w:before="240" w:after="240"/>
        <w:jc w:val="both"/>
        <w:rPr>
          <w:rFonts w:ascii="Arial" w:eastAsia="Arial" w:hAnsi="Arial" w:cs="Arial"/>
          <w:sz w:val="22"/>
          <w:szCs w:val="22"/>
        </w:rPr>
      </w:pPr>
      <w:r>
        <w:rPr>
          <w:rFonts w:ascii="Arial" w:eastAsia="Arial" w:hAnsi="Arial" w:cs="Arial"/>
          <w:sz w:val="22"/>
          <w:szCs w:val="22"/>
        </w:rPr>
        <w:lastRenderedPageBreak/>
        <w:t>De manera similar, el proyecto "Tercer Transformador Bolívar" se enfoca en la ampliación de la capac</w:t>
      </w:r>
      <w:r>
        <w:rPr>
          <w:rFonts w:ascii="Arial" w:eastAsia="Arial" w:hAnsi="Arial" w:cs="Arial"/>
          <w:sz w:val="22"/>
          <w:szCs w:val="22"/>
        </w:rPr>
        <w:t>idad de transporte en la zona Bolívar, con un FPO programado para junio de 2026.</w:t>
      </w:r>
    </w:p>
    <w:p w:rsidR="00CB693E" w:rsidRDefault="00E21F8A">
      <w:pPr>
        <w:tabs>
          <w:tab w:val="left" w:pos="284"/>
          <w:tab w:val="center" w:pos="4419"/>
          <w:tab w:val="right" w:pos="8838"/>
        </w:tabs>
        <w:spacing w:before="240" w:after="240"/>
        <w:jc w:val="both"/>
        <w:rPr>
          <w:rFonts w:ascii="Arial" w:eastAsia="Arial" w:hAnsi="Arial" w:cs="Arial"/>
          <w:sz w:val="22"/>
          <w:szCs w:val="22"/>
        </w:rPr>
      </w:pPr>
      <w:r>
        <w:rPr>
          <w:rFonts w:ascii="Arial" w:eastAsia="Arial" w:hAnsi="Arial" w:cs="Arial"/>
          <w:sz w:val="22"/>
          <w:szCs w:val="22"/>
        </w:rPr>
        <w:t xml:space="preserve">En consonancia con nuestra búsqueda de confiabilidad, el "Corte Central </w:t>
      </w:r>
      <w:proofErr w:type="spellStart"/>
      <w:r>
        <w:rPr>
          <w:rFonts w:ascii="Arial" w:eastAsia="Arial" w:hAnsi="Arial" w:cs="Arial"/>
          <w:sz w:val="22"/>
          <w:szCs w:val="22"/>
        </w:rPr>
        <w:t>Chinú</w:t>
      </w:r>
      <w:proofErr w:type="spellEnd"/>
      <w:r>
        <w:rPr>
          <w:rFonts w:ascii="Arial" w:eastAsia="Arial" w:hAnsi="Arial" w:cs="Arial"/>
          <w:sz w:val="22"/>
          <w:szCs w:val="22"/>
        </w:rPr>
        <w:t xml:space="preserve"> 220 </w:t>
      </w:r>
      <w:proofErr w:type="spellStart"/>
      <w:r>
        <w:rPr>
          <w:rFonts w:ascii="Arial" w:eastAsia="Arial" w:hAnsi="Arial" w:cs="Arial"/>
          <w:sz w:val="22"/>
          <w:szCs w:val="22"/>
        </w:rPr>
        <w:t>kV</w:t>
      </w:r>
      <w:proofErr w:type="spellEnd"/>
      <w:r>
        <w:rPr>
          <w:rFonts w:ascii="Arial" w:eastAsia="Arial" w:hAnsi="Arial" w:cs="Arial"/>
          <w:sz w:val="22"/>
          <w:szCs w:val="22"/>
        </w:rPr>
        <w:t xml:space="preserve">" y la "Reconfiguración de la Subestación </w:t>
      </w:r>
      <w:proofErr w:type="spellStart"/>
      <w:r>
        <w:rPr>
          <w:rFonts w:ascii="Arial" w:eastAsia="Arial" w:hAnsi="Arial" w:cs="Arial"/>
          <w:sz w:val="22"/>
          <w:szCs w:val="22"/>
        </w:rPr>
        <w:t>Banadia</w:t>
      </w:r>
      <w:proofErr w:type="spellEnd"/>
      <w:r>
        <w:rPr>
          <w:rFonts w:ascii="Arial" w:eastAsia="Arial" w:hAnsi="Arial" w:cs="Arial"/>
          <w:sz w:val="22"/>
          <w:szCs w:val="22"/>
        </w:rPr>
        <w:t xml:space="preserve"> 230 </w:t>
      </w:r>
      <w:proofErr w:type="spellStart"/>
      <w:r>
        <w:rPr>
          <w:rFonts w:ascii="Arial" w:eastAsia="Arial" w:hAnsi="Arial" w:cs="Arial"/>
          <w:sz w:val="22"/>
          <w:szCs w:val="22"/>
        </w:rPr>
        <w:t>kV</w:t>
      </w:r>
      <w:proofErr w:type="spellEnd"/>
      <w:r>
        <w:rPr>
          <w:rFonts w:ascii="Arial" w:eastAsia="Arial" w:hAnsi="Arial" w:cs="Arial"/>
          <w:sz w:val="22"/>
          <w:szCs w:val="22"/>
        </w:rPr>
        <w:t>" tienen como objetivo garantizar d</w:t>
      </w:r>
      <w:r>
        <w:rPr>
          <w:rFonts w:ascii="Arial" w:eastAsia="Arial" w:hAnsi="Arial" w:cs="Arial"/>
          <w:sz w:val="22"/>
          <w:szCs w:val="22"/>
        </w:rPr>
        <w:t xml:space="preserve">icha característica en el sistema, con </w:t>
      </w:r>
      <w:proofErr w:type="spellStart"/>
      <w:r>
        <w:rPr>
          <w:rFonts w:ascii="Arial" w:eastAsia="Arial" w:hAnsi="Arial" w:cs="Arial"/>
          <w:sz w:val="22"/>
          <w:szCs w:val="22"/>
        </w:rPr>
        <w:t>FPOs</w:t>
      </w:r>
      <w:proofErr w:type="spellEnd"/>
      <w:r>
        <w:rPr>
          <w:rFonts w:ascii="Arial" w:eastAsia="Arial" w:hAnsi="Arial" w:cs="Arial"/>
          <w:sz w:val="22"/>
          <w:szCs w:val="22"/>
        </w:rPr>
        <w:t xml:space="preserve"> establecidas para noviembre de 2024 y noviembre de 2025, respectivamente.</w:t>
      </w:r>
    </w:p>
    <w:p w:rsidR="00CB693E" w:rsidRDefault="00E21F8A">
      <w:pPr>
        <w:tabs>
          <w:tab w:val="left" w:pos="284"/>
          <w:tab w:val="center" w:pos="4419"/>
          <w:tab w:val="right" w:pos="8838"/>
        </w:tabs>
        <w:spacing w:before="240" w:after="240"/>
        <w:jc w:val="both"/>
        <w:rPr>
          <w:rFonts w:ascii="Arial" w:eastAsia="Arial" w:hAnsi="Arial" w:cs="Arial"/>
          <w:sz w:val="22"/>
          <w:szCs w:val="22"/>
        </w:rPr>
      </w:pPr>
      <w:r>
        <w:rPr>
          <w:rFonts w:ascii="Arial" w:eastAsia="Arial" w:hAnsi="Arial" w:cs="Arial"/>
          <w:sz w:val="22"/>
          <w:szCs w:val="22"/>
        </w:rPr>
        <w:t xml:space="preserve">Paralelamente, el "Segundo Transformador La Virginia 500/220 </w:t>
      </w:r>
      <w:proofErr w:type="spellStart"/>
      <w:r>
        <w:rPr>
          <w:rFonts w:ascii="Arial" w:eastAsia="Arial" w:hAnsi="Arial" w:cs="Arial"/>
          <w:sz w:val="22"/>
          <w:szCs w:val="22"/>
        </w:rPr>
        <w:t>kV</w:t>
      </w:r>
      <w:proofErr w:type="spellEnd"/>
      <w:r>
        <w:rPr>
          <w:rFonts w:ascii="Arial" w:eastAsia="Arial" w:hAnsi="Arial" w:cs="Arial"/>
          <w:sz w:val="22"/>
          <w:szCs w:val="22"/>
        </w:rPr>
        <w:t>" se está desarrollando para ampliar la capacidad en La Virginia, con una F</w:t>
      </w:r>
      <w:r>
        <w:rPr>
          <w:rFonts w:ascii="Arial" w:eastAsia="Arial" w:hAnsi="Arial" w:cs="Arial"/>
          <w:sz w:val="22"/>
          <w:szCs w:val="22"/>
        </w:rPr>
        <w:t>PO estimada para diciembre de 2024.</w:t>
      </w:r>
    </w:p>
    <w:p w:rsidR="00CB693E" w:rsidRDefault="00E21F8A">
      <w:pPr>
        <w:tabs>
          <w:tab w:val="left" w:pos="284"/>
          <w:tab w:val="center" w:pos="4419"/>
          <w:tab w:val="right" w:pos="8838"/>
        </w:tabs>
        <w:spacing w:before="240" w:after="240"/>
        <w:jc w:val="both"/>
        <w:rPr>
          <w:rFonts w:ascii="Arial" w:eastAsia="Arial" w:hAnsi="Arial" w:cs="Arial"/>
          <w:sz w:val="22"/>
          <w:szCs w:val="22"/>
        </w:rPr>
      </w:pPr>
      <w:r>
        <w:rPr>
          <w:rFonts w:ascii="Arial" w:eastAsia="Arial" w:hAnsi="Arial" w:cs="Arial"/>
          <w:sz w:val="22"/>
          <w:szCs w:val="22"/>
        </w:rPr>
        <w:t>Asimismo, la "Subestación San Marcos" está en proceso para reforzar la seguridad y confiabilidad en la operación del sistema, con una FPO prevista para diciembre de 2024.</w:t>
      </w:r>
    </w:p>
    <w:p w:rsidR="00CB693E" w:rsidRDefault="00E21F8A">
      <w:pPr>
        <w:tabs>
          <w:tab w:val="left" w:pos="284"/>
          <w:tab w:val="center" w:pos="4419"/>
          <w:tab w:val="right" w:pos="8838"/>
        </w:tabs>
        <w:spacing w:before="240" w:after="240"/>
        <w:jc w:val="both"/>
        <w:rPr>
          <w:rFonts w:ascii="Arial" w:eastAsia="Arial" w:hAnsi="Arial" w:cs="Arial"/>
          <w:sz w:val="22"/>
          <w:szCs w:val="22"/>
        </w:rPr>
      </w:pPr>
      <w:r>
        <w:rPr>
          <w:rFonts w:ascii="Arial" w:eastAsia="Arial" w:hAnsi="Arial" w:cs="Arial"/>
          <w:sz w:val="22"/>
          <w:szCs w:val="22"/>
        </w:rPr>
        <w:t>Por último, se está llevando a cabo un estudio pa</w:t>
      </w:r>
      <w:r>
        <w:rPr>
          <w:rFonts w:ascii="Arial" w:eastAsia="Arial" w:hAnsi="Arial" w:cs="Arial"/>
          <w:sz w:val="22"/>
          <w:szCs w:val="22"/>
        </w:rPr>
        <w:t>ra el desarrollo de un proyecto de corriente continua de alta tensión (HVDC). Estamos comprometidos en mantenerles informados sobre los avances y resultados de este estudio a medida que se desarrolla.</w:t>
      </w:r>
    </w:p>
    <w:p w:rsidR="00CB693E" w:rsidRDefault="00E21F8A">
      <w:pPr>
        <w:tabs>
          <w:tab w:val="left" w:pos="284"/>
          <w:tab w:val="center" w:pos="4419"/>
          <w:tab w:val="right" w:pos="8838"/>
        </w:tabs>
        <w:spacing w:before="240" w:after="240"/>
        <w:jc w:val="both"/>
        <w:rPr>
          <w:rFonts w:ascii="Arial" w:eastAsia="Arial" w:hAnsi="Arial" w:cs="Arial"/>
          <w:sz w:val="22"/>
          <w:szCs w:val="22"/>
        </w:rPr>
      </w:pPr>
      <w:bookmarkStart w:id="2" w:name="_heading=h.3znysh7" w:colFirst="0" w:colLast="0"/>
      <w:bookmarkEnd w:id="2"/>
      <w:r>
        <w:rPr>
          <w:rFonts w:ascii="Arial" w:eastAsia="Arial" w:hAnsi="Arial" w:cs="Arial"/>
          <w:sz w:val="22"/>
          <w:szCs w:val="22"/>
        </w:rPr>
        <w:t>Estas obras y proyectos reflejan nuestro compromiso con</w:t>
      </w:r>
      <w:r>
        <w:rPr>
          <w:rFonts w:ascii="Arial" w:eastAsia="Arial" w:hAnsi="Arial" w:cs="Arial"/>
          <w:sz w:val="22"/>
          <w:szCs w:val="22"/>
        </w:rPr>
        <w:t xml:space="preserve"> la infraestructura eléctrica de calidad y la confiabilidad del sistema, con miras a brindar un servicio de excelencia a nuestros usuarios y contribuir al desarrollo sostenible.</w:t>
      </w:r>
    </w:p>
    <w:p w:rsidR="00CB693E" w:rsidRDefault="00E21F8A">
      <w:pPr>
        <w:numPr>
          <w:ilvl w:val="0"/>
          <w:numId w:val="11"/>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b/>
          <w:color w:val="000000"/>
          <w:sz w:val="22"/>
          <w:szCs w:val="22"/>
        </w:rPr>
        <w:t>Informe operativo XM</w:t>
      </w:r>
      <w:r>
        <w:rPr>
          <w:rFonts w:ascii="Arial" w:eastAsia="Arial" w:hAnsi="Arial" w:cs="Arial"/>
          <w:color w:val="000000"/>
          <w:sz w:val="22"/>
          <w:szCs w:val="22"/>
        </w:rPr>
        <w:t xml:space="preserve"> </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color w:val="FF0000"/>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Situación operativa eléctrica actual – Caribe y Chocó: </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bookmarkStart w:id="3" w:name="_heading=h.2et92p0" w:colFirst="0" w:colLast="0"/>
      <w:bookmarkEnd w:id="3"/>
      <w:r>
        <w:rPr>
          <w:rFonts w:ascii="Arial" w:eastAsia="Arial" w:hAnsi="Arial" w:cs="Arial"/>
          <w:sz w:val="22"/>
          <w:szCs w:val="22"/>
        </w:rPr>
        <w:t>Se presenta agotamiento de la red debido a la no entrada y/o definición de proyectos de expansión a nivel del STR y al continuo crecimiento de la demanda. Algunas de las alertas y/o emergencias declaradas con razón de lo anterior:</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p>
    <w:p w:rsidR="00CB693E" w:rsidRDefault="00E21F8A">
      <w:pPr>
        <w:numPr>
          <w:ilvl w:val="0"/>
          <w:numId w:val="6"/>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roofErr w:type="spellStart"/>
      <w:r>
        <w:rPr>
          <w:rFonts w:ascii="Arial" w:eastAsia="Arial" w:hAnsi="Arial" w:cs="Arial"/>
          <w:sz w:val="22"/>
          <w:szCs w:val="22"/>
        </w:rPr>
        <w:t>Subárea</w:t>
      </w:r>
      <w:proofErr w:type="spellEnd"/>
      <w:r>
        <w:rPr>
          <w:rFonts w:ascii="Arial" w:eastAsia="Arial" w:hAnsi="Arial" w:cs="Arial"/>
          <w:sz w:val="22"/>
          <w:szCs w:val="22"/>
        </w:rPr>
        <w:t xml:space="preserve"> GCM: Declarada</w:t>
      </w:r>
      <w:r>
        <w:rPr>
          <w:rFonts w:ascii="Arial" w:eastAsia="Arial" w:hAnsi="Arial" w:cs="Arial"/>
          <w:sz w:val="22"/>
          <w:szCs w:val="22"/>
        </w:rPr>
        <w:t xml:space="preserve"> en estado de emergencia en abril de 2022 por susceptibilidad a ocurrencia del fenómeno de Recuperación lenta de tensión inducida por falla (FIDVR).</w:t>
      </w:r>
    </w:p>
    <w:p w:rsidR="00CB693E" w:rsidRDefault="00E21F8A">
      <w:pPr>
        <w:numPr>
          <w:ilvl w:val="0"/>
          <w:numId w:val="6"/>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roofErr w:type="spellStart"/>
      <w:r>
        <w:rPr>
          <w:rFonts w:ascii="Arial" w:eastAsia="Arial" w:hAnsi="Arial" w:cs="Arial"/>
          <w:sz w:val="22"/>
          <w:szCs w:val="22"/>
        </w:rPr>
        <w:t>Subárea</w:t>
      </w:r>
      <w:proofErr w:type="spellEnd"/>
      <w:r>
        <w:rPr>
          <w:rFonts w:ascii="Arial" w:eastAsia="Arial" w:hAnsi="Arial" w:cs="Arial"/>
          <w:sz w:val="22"/>
          <w:szCs w:val="22"/>
        </w:rPr>
        <w:t xml:space="preserve"> Bolívar, Córdoba Sucre, y GXM: Declarada en estado de emergencia en junio de 2023. Nodos puntuales </w:t>
      </w:r>
      <w:r>
        <w:rPr>
          <w:rFonts w:ascii="Arial" w:eastAsia="Arial" w:hAnsi="Arial" w:cs="Arial"/>
          <w:sz w:val="22"/>
          <w:szCs w:val="22"/>
        </w:rPr>
        <w:t xml:space="preserve">por bajas tensiones y recuperación de tensión en las cargas radiales. </w:t>
      </w:r>
    </w:p>
    <w:p w:rsidR="00CB693E" w:rsidRDefault="00E21F8A">
      <w:pPr>
        <w:numPr>
          <w:ilvl w:val="0"/>
          <w:numId w:val="6"/>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Zona Chocó: Declarada en estado de alerta en febrero de 2023 por riesgos para la demanda ante contingencias N-1. </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Se observa un aumento en los cortes activos dentro del Sistema Interco</w:t>
      </w:r>
      <w:r>
        <w:rPr>
          <w:rFonts w:ascii="Arial" w:eastAsia="Arial" w:hAnsi="Arial" w:cs="Arial"/>
          <w:sz w:val="22"/>
          <w:szCs w:val="22"/>
        </w:rPr>
        <w:t xml:space="preserve">nectado Nacional (SIN), lo cual genera estrés en el sistema durante los períodos de mantenimiento. También </w:t>
      </w:r>
      <w:r>
        <w:rPr>
          <w:rFonts w:ascii="Arial" w:eastAsia="Arial" w:hAnsi="Arial" w:cs="Arial"/>
          <w:sz w:val="22"/>
          <w:szCs w:val="22"/>
        </w:rPr>
        <w:lastRenderedPageBreak/>
        <w:t xml:space="preserve">se nota una evolución de la energía despachada fuera de mérito. Algunas subestaciones se encuentran en configuraciones radiales o con </w:t>
      </w:r>
      <w:proofErr w:type="spellStart"/>
      <w:r>
        <w:rPr>
          <w:rFonts w:ascii="Arial" w:eastAsia="Arial" w:hAnsi="Arial" w:cs="Arial"/>
          <w:sz w:val="22"/>
          <w:szCs w:val="22"/>
        </w:rPr>
        <w:t>enmallamientos</w:t>
      </w:r>
      <w:proofErr w:type="spellEnd"/>
      <w:r>
        <w:rPr>
          <w:rFonts w:ascii="Arial" w:eastAsia="Arial" w:hAnsi="Arial" w:cs="Arial"/>
          <w:sz w:val="22"/>
          <w:szCs w:val="22"/>
        </w:rPr>
        <w:t xml:space="preserve"> </w:t>
      </w:r>
      <w:r>
        <w:rPr>
          <w:rFonts w:ascii="Arial" w:eastAsia="Arial" w:hAnsi="Arial" w:cs="Arial"/>
          <w:sz w:val="22"/>
          <w:szCs w:val="22"/>
        </w:rPr>
        <w:t xml:space="preserve">débiles. Se han identificado 155 nodos radiales en total, principalmente ubicados en áreas como Caribe Bolívar, Córdoba-Sucre, GCM y </w:t>
      </w:r>
      <w:proofErr w:type="spellStart"/>
      <w:r>
        <w:rPr>
          <w:rFonts w:ascii="Arial" w:eastAsia="Arial" w:hAnsi="Arial" w:cs="Arial"/>
          <w:sz w:val="22"/>
          <w:szCs w:val="22"/>
        </w:rPr>
        <w:t>Bosconia</w:t>
      </w:r>
      <w:proofErr w:type="spellEnd"/>
      <w:r>
        <w:rPr>
          <w:rFonts w:ascii="Arial" w:eastAsia="Arial" w:hAnsi="Arial" w:cs="Arial"/>
          <w:sz w:val="22"/>
          <w:szCs w:val="22"/>
        </w:rPr>
        <w:t xml:space="preserve"> en Norte Santander. En la actualidad, se presenta un deterioro de la potencia segura atendible en estos nodos con </w:t>
      </w:r>
      <w:r>
        <w:rPr>
          <w:rFonts w:ascii="Arial" w:eastAsia="Arial" w:hAnsi="Arial" w:cs="Arial"/>
          <w:sz w:val="22"/>
          <w:szCs w:val="22"/>
        </w:rPr>
        <w:t>configuración radial.</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yellow"/>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GCM – Bolívar y Córdoba-Sucre las zonas con estas complicaciones: Agotamiento de la red en equipos del área Caribe.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Situación operativa Caribe (2023): Falla en una línea de 66 </w:t>
      </w:r>
      <w:proofErr w:type="spellStart"/>
      <w:r>
        <w:rPr>
          <w:rFonts w:ascii="Arial" w:eastAsia="Arial" w:hAnsi="Arial" w:cs="Arial"/>
          <w:sz w:val="22"/>
          <w:szCs w:val="22"/>
        </w:rPr>
        <w:t>kV</w:t>
      </w:r>
      <w:proofErr w:type="spellEnd"/>
      <w:r>
        <w:rPr>
          <w:rFonts w:ascii="Arial" w:eastAsia="Arial" w:hAnsi="Arial" w:cs="Arial"/>
          <w:sz w:val="22"/>
          <w:szCs w:val="22"/>
        </w:rPr>
        <w:t xml:space="preserve"> (Sobretensiones) GCM y también en Córdoba-Sucre, bajas tensiones, sobrecargas, DNA por control de tensión o límite de GCM, DNA por desconexiones y mantenimientos.</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Evolución instrucciones de DN</w:t>
      </w:r>
      <w:r>
        <w:rPr>
          <w:rFonts w:ascii="Arial" w:eastAsia="Arial" w:hAnsi="Arial" w:cs="Arial"/>
          <w:sz w:val="22"/>
          <w:szCs w:val="22"/>
        </w:rPr>
        <w:t>A (Caribe)- Instrucciones No programado – Programado) ha crecido desde el 2010. En el 2019 se creó un plan de choque en el Caribe. Esta información está en fase preliminar y en proceso de depuración histórica.</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Evolución de la demanda: Los meses de mayo y junio presentaron incrementos significativos de la demanda y picos máximos que en algunos días superaron el IC del 95%.  Incrementa exponencialmente en los meses de mayo-junio-julio. Principalmente por temas met</w:t>
      </w:r>
      <w:r>
        <w:rPr>
          <w:rFonts w:ascii="Arial" w:eastAsia="Arial" w:hAnsi="Arial" w:cs="Arial"/>
          <w:sz w:val="22"/>
          <w:szCs w:val="22"/>
        </w:rPr>
        <w:t xml:space="preserve">eorológicos.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yellow"/>
        </w:rPr>
      </w:pPr>
      <w:r>
        <w:rPr>
          <w:rFonts w:ascii="Arial" w:eastAsia="Arial" w:hAnsi="Arial" w:cs="Arial"/>
          <w:i/>
          <w:sz w:val="22"/>
          <w:szCs w:val="22"/>
          <w:u w:val="single"/>
        </w:rPr>
        <w:t>Intervención ENEL:</w:t>
      </w:r>
      <w:r>
        <w:rPr>
          <w:rFonts w:ascii="Arial" w:eastAsia="Arial" w:hAnsi="Arial" w:cs="Arial"/>
          <w:sz w:val="22"/>
          <w:szCs w:val="22"/>
        </w:rPr>
        <w:t xml:space="preserve"> podría llegar este año en esta área a una DNA de hasta 180-190 MW.</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Situación operativa – Chocó: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El Chocó es un área débilmente enmallada. Debido al límite por estabilidad de voltaje, la demanda no puede ser atendida en </w:t>
      </w:r>
      <w:r>
        <w:rPr>
          <w:rFonts w:ascii="Arial" w:eastAsia="Arial" w:hAnsi="Arial" w:cs="Arial"/>
          <w:sz w:val="22"/>
          <w:szCs w:val="22"/>
        </w:rPr>
        <w:t xml:space="preserve">su totalidad. La situación del DNA en Chocó ha crecido desde 2017. Hubo </w:t>
      </w:r>
      <w:proofErr w:type="spellStart"/>
      <w:r>
        <w:rPr>
          <w:rFonts w:ascii="Arial" w:eastAsia="Arial" w:hAnsi="Arial" w:cs="Arial"/>
          <w:sz w:val="22"/>
          <w:szCs w:val="22"/>
        </w:rPr>
        <w:t>radialidad</w:t>
      </w:r>
      <w:proofErr w:type="spellEnd"/>
      <w:r>
        <w:rPr>
          <w:rFonts w:ascii="Arial" w:eastAsia="Arial" w:hAnsi="Arial" w:cs="Arial"/>
          <w:sz w:val="22"/>
          <w:szCs w:val="22"/>
        </w:rPr>
        <w:t xml:space="preserve"> hasta 2015 y entró Quibdó el Siete de 115kV. Se debe proponer una obra estructural para el departamento del Chocó. Aún con la compensación en </w:t>
      </w:r>
      <w:proofErr w:type="spellStart"/>
      <w:r>
        <w:rPr>
          <w:rFonts w:ascii="Arial" w:eastAsia="Arial" w:hAnsi="Arial" w:cs="Arial"/>
          <w:sz w:val="22"/>
          <w:szCs w:val="22"/>
        </w:rPr>
        <w:t>Cértegui</w:t>
      </w:r>
      <w:proofErr w:type="spellEnd"/>
      <w:r>
        <w:rPr>
          <w:rFonts w:ascii="Arial" w:eastAsia="Arial" w:hAnsi="Arial" w:cs="Arial"/>
          <w:sz w:val="22"/>
          <w:szCs w:val="22"/>
        </w:rPr>
        <w:t xml:space="preserve"> 115 </w:t>
      </w:r>
      <w:proofErr w:type="spellStart"/>
      <w:r>
        <w:rPr>
          <w:rFonts w:ascii="Arial" w:eastAsia="Arial" w:hAnsi="Arial" w:cs="Arial"/>
          <w:sz w:val="22"/>
          <w:szCs w:val="22"/>
        </w:rPr>
        <w:t>kV</w:t>
      </w:r>
      <w:proofErr w:type="spellEnd"/>
      <w:r>
        <w:rPr>
          <w:rFonts w:ascii="Arial" w:eastAsia="Arial" w:hAnsi="Arial" w:cs="Arial"/>
          <w:sz w:val="22"/>
          <w:szCs w:val="22"/>
        </w:rPr>
        <w:t>, se requieren o</w:t>
      </w:r>
      <w:r>
        <w:rPr>
          <w:rFonts w:ascii="Arial" w:eastAsia="Arial" w:hAnsi="Arial" w:cs="Arial"/>
          <w:sz w:val="22"/>
          <w:szCs w:val="22"/>
        </w:rPr>
        <w:t xml:space="preserve">bras estructurales para garantizar la seguridad y confiabilidad en el departamento.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Situación operativa eléctrica – ORIENTAL: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Riesgo de operación de la demanda. Se perdería flexibilidad con las proyecciones de la UPME. Entre 2025 y 2026, el límite será</w:t>
      </w:r>
      <w:r>
        <w:rPr>
          <w:rFonts w:ascii="Arial" w:eastAsia="Arial" w:hAnsi="Arial" w:cs="Arial"/>
          <w:sz w:val="22"/>
          <w:szCs w:val="22"/>
        </w:rPr>
        <w:t xml:space="preserve"> de 3500 MW entre Bogotá y META. Escenario de confianza del 95%. Proyectos que eliminan la condición de riesgo (algunos proyectos hasta con 10 años de retraso y aún no tienen fecha clara). Resumen de restricciones por área operativa sin obras de transmisió</w:t>
      </w:r>
      <w:r>
        <w:rPr>
          <w:rFonts w:ascii="Arial" w:eastAsia="Arial" w:hAnsi="Arial" w:cs="Arial"/>
          <w:sz w:val="22"/>
          <w:szCs w:val="22"/>
        </w:rPr>
        <w:t xml:space="preserve">n asociadas. Se consideran en servicio todas las obras en construcción o </w:t>
      </w:r>
      <w:proofErr w:type="spellStart"/>
      <w:r>
        <w:rPr>
          <w:rFonts w:ascii="Arial" w:eastAsia="Arial" w:hAnsi="Arial" w:cs="Arial"/>
          <w:sz w:val="22"/>
          <w:szCs w:val="22"/>
        </w:rPr>
        <w:t>republicación</w:t>
      </w:r>
      <w:proofErr w:type="spellEnd"/>
      <w:r>
        <w:rPr>
          <w:rFonts w:ascii="Arial" w:eastAsia="Arial" w:hAnsi="Arial" w:cs="Arial"/>
          <w:sz w:val="22"/>
          <w:szCs w:val="22"/>
        </w:rPr>
        <w:t xml:space="preserve"> y no se han incorporado los proyectos que tienen los OR. Los que aún no tienen promotor asignado no se tienen en cuenta.</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Obras propuestas (Caribe):</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numPr>
          <w:ilvl w:val="0"/>
          <w:numId w:val="12"/>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Compensaciones </w:t>
      </w:r>
      <w:proofErr w:type="spellStart"/>
      <w:r>
        <w:rPr>
          <w:rFonts w:ascii="Arial" w:eastAsia="Arial" w:hAnsi="Arial" w:cs="Arial"/>
          <w:sz w:val="22"/>
          <w:szCs w:val="22"/>
        </w:rPr>
        <w:t>sincronicas</w:t>
      </w:r>
      <w:proofErr w:type="spellEnd"/>
      <w:r>
        <w:rPr>
          <w:rFonts w:ascii="Arial" w:eastAsia="Arial" w:hAnsi="Arial" w:cs="Arial"/>
          <w:sz w:val="22"/>
          <w:szCs w:val="22"/>
        </w:rPr>
        <w:t xml:space="preserve"> GCM para mitigación del FIDVR (beneficio costo mayor a 2,5 en series a 10 años).</w:t>
      </w:r>
    </w:p>
    <w:p w:rsidR="00CB693E" w:rsidRDefault="00E21F8A">
      <w:pPr>
        <w:numPr>
          <w:ilvl w:val="0"/>
          <w:numId w:val="12"/>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Nueva Magangué 500 </w:t>
      </w:r>
      <w:proofErr w:type="spellStart"/>
      <w:r>
        <w:rPr>
          <w:rFonts w:ascii="Arial" w:eastAsia="Arial" w:hAnsi="Arial" w:cs="Arial"/>
          <w:sz w:val="22"/>
          <w:szCs w:val="22"/>
        </w:rPr>
        <w:t>kV</w:t>
      </w:r>
      <w:proofErr w:type="spellEnd"/>
      <w:r>
        <w:rPr>
          <w:rFonts w:ascii="Arial" w:eastAsia="Arial" w:hAnsi="Arial" w:cs="Arial"/>
          <w:sz w:val="22"/>
          <w:szCs w:val="22"/>
        </w:rPr>
        <w:t xml:space="preserve"> y construir la línea EL PASO – MOMPOX (obra iniciativa del OR aún en desarrollo).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Obras evaluadas (Antioquia):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numPr>
          <w:ilvl w:val="0"/>
          <w:numId w:val="8"/>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Segundo cor</w:t>
      </w:r>
      <w:r>
        <w:rPr>
          <w:rFonts w:ascii="Arial" w:eastAsia="Arial" w:hAnsi="Arial" w:cs="Arial"/>
          <w:sz w:val="22"/>
          <w:szCs w:val="22"/>
        </w:rPr>
        <w:t>redor Virginia-</w:t>
      </w:r>
      <w:proofErr w:type="spellStart"/>
      <w:r>
        <w:rPr>
          <w:rFonts w:ascii="Arial" w:eastAsia="Arial" w:hAnsi="Arial" w:cs="Arial"/>
          <w:sz w:val="22"/>
          <w:szCs w:val="22"/>
        </w:rPr>
        <w:t>Bolombolo</w:t>
      </w:r>
      <w:proofErr w:type="spellEnd"/>
      <w:r>
        <w:rPr>
          <w:rFonts w:ascii="Arial" w:eastAsia="Arial" w:hAnsi="Arial" w:cs="Arial"/>
          <w:sz w:val="22"/>
          <w:szCs w:val="22"/>
        </w:rPr>
        <w:t xml:space="preserve"> 115(110)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
    <w:p w:rsidR="00CB693E" w:rsidRDefault="00E21F8A">
      <w:pPr>
        <w:numPr>
          <w:ilvl w:val="0"/>
          <w:numId w:val="8"/>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Corredor en doble circuito Hispania-Quibdó 115 </w:t>
      </w:r>
      <w:proofErr w:type="spellStart"/>
      <w:r>
        <w:rPr>
          <w:rFonts w:ascii="Arial" w:eastAsia="Arial" w:hAnsi="Arial" w:cs="Arial"/>
          <w:sz w:val="22"/>
          <w:szCs w:val="22"/>
        </w:rPr>
        <w:t>kV</w:t>
      </w:r>
      <w:proofErr w:type="spellEnd"/>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Obras propuestas (Nordeste):</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numPr>
          <w:ilvl w:val="0"/>
          <w:numId w:val="4"/>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roofErr w:type="spellStart"/>
      <w:r>
        <w:rPr>
          <w:rFonts w:ascii="Arial" w:eastAsia="Arial" w:hAnsi="Arial" w:cs="Arial"/>
          <w:sz w:val="22"/>
          <w:szCs w:val="22"/>
        </w:rPr>
        <w:t>Tonchalá</w:t>
      </w:r>
      <w:proofErr w:type="spellEnd"/>
      <w:r>
        <w:rPr>
          <w:rFonts w:ascii="Arial" w:eastAsia="Arial" w:hAnsi="Arial" w:cs="Arial"/>
          <w:sz w:val="22"/>
          <w:szCs w:val="22"/>
        </w:rPr>
        <w:t xml:space="preserve"> 220/115 </w:t>
      </w:r>
      <w:proofErr w:type="spellStart"/>
      <w:r>
        <w:rPr>
          <w:rFonts w:ascii="Arial" w:eastAsia="Arial" w:hAnsi="Arial" w:cs="Arial"/>
          <w:sz w:val="22"/>
          <w:szCs w:val="22"/>
        </w:rPr>
        <w:t>kV</w:t>
      </w:r>
      <w:proofErr w:type="spellEnd"/>
      <w:r>
        <w:rPr>
          <w:rFonts w:ascii="Arial" w:eastAsia="Arial" w:hAnsi="Arial" w:cs="Arial"/>
          <w:sz w:val="22"/>
          <w:szCs w:val="22"/>
        </w:rPr>
        <w:t xml:space="preserve"> (obra iniciativa del OR aún en desarrollo).</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Evolución de la generación instalada en el área Caribe con capacidad de exportación 2025-2037: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Se esperan 14000 MW de generación para 2027. 9822 MW corresponden a generación basada en inversores. Se debe acompañar la capacidad de generación instalada en </w:t>
      </w:r>
      <w:r>
        <w:rPr>
          <w:rFonts w:ascii="Arial" w:eastAsia="Arial" w:hAnsi="Arial" w:cs="Arial"/>
          <w:sz w:val="22"/>
          <w:szCs w:val="22"/>
        </w:rPr>
        <w:t xml:space="preserve">el área Caribe con proyectos que permitan aumentar su capacidad de exportación al resto del SIN.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i/>
          <w:sz w:val="22"/>
          <w:szCs w:val="22"/>
          <w:u w:val="single"/>
        </w:rPr>
        <w:t>Intervención:</w:t>
      </w:r>
      <w:r>
        <w:rPr>
          <w:rFonts w:ascii="Arial" w:eastAsia="Arial" w:hAnsi="Arial" w:cs="Arial"/>
          <w:sz w:val="22"/>
          <w:szCs w:val="22"/>
        </w:rPr>
        <w:t xml:space="preserve"> Análisis de cómo explotar la red AC hasta que llegue la línea HVDC. Qué requiere la red de CA para seguirla explotando. En el comité técnico am</w:t>
      </w:r>
      <w:r>
        <w:rPr>
          <w:rFonts w:ascii="Arial" w:eastAsia="Arial" w:hAnsi="Arial" w:cs="Arial"/>
          <w:sz w:val="22"/>
          <w:szCs w:val="22"/>
        </w:rPr>
        <w:t>biental, el GEB va a traer las alternativas que se están trabajando. No dejar la solución estructural que es el HVDC. El problema es no poner el HVDC es poner una sencilla, la estrategia a futuro es anillar en HVDC con Antioquia, Caribe y Oriental, el prob</w:t>
      </w:r>
      <w:r>
        <w:rPr>
          <w:rFonts w:ascii="Arial" w:eastAsia="Arial" w:hAnsi="Arial" w:cs="Arial"/>
          <w:sz w:val="22"/>
          <w:szCs w:val="22"/>
        </w:rPr>
        <w:t xml:space="preserve">lema raíz es “beneficios”, OJO comentario Libardo </w:t>
      </w:r>
      <w:proofErr w:type="spellStart"/>
      <w:r>
        <w:rPr>
          <w:rFonts w:ascii="Arial" w:eastAsia="Arial" w:hAnsi="Arial" w:cs="Arial"/>
          <w:sz w:val="22"/>
          <w:szCs w:val="22"/>
        </w:rPr>
        <w:t>Enel</w:t>
      </w:r>
      <w:proofErr w:type="spellEnd"/>
      <w:r>
        <w:rPr>
          <w:rFonts w:ascii="Arial" w:eastAsia="Arial" w:hAnsi="Arial" w:cs="Arial"/>
          <w:sz w:val="22"/>
          <w:szCs w:val="22"/>
        </w:rPr>
        <w:t>. HVDC multipunto. A futuro interconexión con Venezuela si recupera industrialización algún día.</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Obras propuestas:</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Mejoramiento de índices SCRIF y WSCR: Elementos con aportes de corriente de cortocirc</w:t>
      </w:r>
      <w:r>
        <w:rPr>
          <w:rFonts w:ascii="Arial" w:eastAsia="Arial" w:hAnsi="Arial" w:cs="Arial"/>
          <w:sz w:val="22"/>
          <w:szCs w:val="22"/>
        </w:rPr>
        <w:t>uito en las subestaciones, con niveles bajos de SCRIF, mejoran considerablemente las problemáticas de la red débil y son una alternativa frente a posibles cortes de producción para garantizar la estabilidad del sistema y/o pérdidas generalizadas de equipos</w:t>
      </w:r>
      <w:r>
        <w:rPr>
          <w:rFonts w:ascii="Arial" w:eastAsia="Arial" w:hAnsi="Arial" w:cs="Arial"/>
          <w:sz w:val="22"/>
          <w:szCs w:val="22"/>
        </w:rPr>
        <w:t xml:space="preserve"> conectados mediante inversores.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lastRenderedPageBreak/>
        <w:t>Resumen de compensadores síncronos (</w:t>
      </w:r>
      <w:proofErr w:type="spellStart"/>
      <w:r>
        <w:rPr>
          <w:rFonts w:ascii="Arial" w:eastAsia="Arial" w:hAnsi="Arial" w:cs="Arial"/>
          <w:sz w:val="22"/>
          <w:szCs w:val="22"/>
        </w:rPr>
        <w:t>SynCon</w:t>
      </w:r>
      <w:proofErr w:type="spellEnd"/>
      <w:r>
        <w:rPr>
          <w:rFonts w:ascii="Arial" w:eastAsia="Arial" w:hAnsi="Arial" w:cs="Arial"/>
          <w:sz w:val="22"/>
          <w:szCs w:val="22"/>
        </w:rPr>
        <w:t xml:space="preserve">). En las </w:t>
      </w:r>
      <w:proofErr w:type="spellStart"/>
      <w:r>
        <w:rPr>
          <w:rFonts w:ascii="Arial" w:eastAsia="Arial" w:hAnsi="Arial" w:cs="Arial"/>
          <w:sz w:val="22"/>
          <w:szCs w:val="22"/>
        </w:rPr>
        <w:t>subáreas</w:t>
      </w:r>
      <w:proofErr w:type="spellEnd"/>
      <w:r>
        <w:rPr>
          <w:rFonts w:ascii="Arial" w:eastAsia="Arial" w:hAnsi="Arial" w:cs="Arial"/>
          <w:sz w:val="22"/>
          <w:szCs w:val="22"/>
        </w:rPr>
        <w:t xml:space="preserve"> GCM, Bolívar, Atlántico, Córdoba –Sucre.  Se pone como ejemplo el caso de Texas donde se van a instalar compensadores síncronos (</w:t>
      </w:r>
      <w:proofErr w:type="spellStart"/>
      <w:r>
        <w:rPr>
          <w:rFonts w:ascii="Arial" w:eastAsia="Arial" w:hAnsi="Arial" w:cs="Arial"/>
          <w:sz w:val="22"/>
          <w:szCs w:val="22"/>
        </w:rPr>
        <w:t>National</w:t>
      </w:r>
      <w:proofErr w:type="spellEnd"/>
      <w:r>
        <w:rPr>
          <w:rFonts w:ascii="Arial" w:eastAsia="Arial" w:hAnsi="Arial" w:cs="Arial"/>
          <w:sz w:val="22"/>
          <w:szCs w:val="22"/>
        </w:rPr>
        <w:t xml:space="preserve"> </w:t>
      </w:r>
      <w:proofErr w:type="spellStart"/>
      <w:r>
        <w:rPr>
          <w:rFonts w:ascii="Arial" w:eastAsia="Arial" w:hAnsi="Arial" w:cs="Arial"/>
          <w:sz w:val="22"/>
          <w:szCs w:val="22"/>
        </w:rPr>
        <w:t>Grid</w:t>
      </w:r>
      <w:proofErr w:type="spellEnd"/>
      <w:r>
        <w:rPr>
          <w:rFonts w:ascii="Arial" w:eastAsia="Arial" w:hAnsi="Arial" w:cs="Arial"/>
          <w:sz w:val="22"/>
          <w:szCs w:val="22"/>
        </w:rPr>
        <w:t xml:space="preserve"> y </w:t>
      </w:r>
      <w:proofErr w:type="spellStart"/>
      <w:r>
        <w:rPr>
          <w:rFonts w:ascii="Arial" w:eastAsia="Arial" w:hAnsi="Arial" w:cs="Arial"/>
          <w:sz w:val="22"/>
          <w:szCs w:val="22"/>
        </w:rPr>
        <w:t>Elcorp</w:t>
      </w:r>
      <w:proofErr w:type="spellEnd"/>
      <w:r>
        <w:rPr>
          <w:rFonts w:ascii="Arial" w:eastAsia="Arial" w:hAnsi="Arial" w:cs="Arial"/>
          <w:sz w:val="22"/>
          <w:szCs w:val="22"/>
        </w:rPr>
        <w:t xml:space="preserve"> Texas).</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Proyectos en cronograma de convocatoria:</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numPr>
          <w:ilvl w:val="0"/>
          <w:numId w:val="13"/>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Carreto 500 </w:t>
      </w:r>
      <w:proofErr w:type="spellStart"/>
      <w:r>
        <w:rPr>
          <w:rFonts w:ascii="Arial" w:eastAsia="Arial" w:hAnsi="Arial" w:cs="Arial"/>
          <w:sz w:val="22"/>
          <w:szCs w:val="22"/>
        </w:rPr>
        <w:t>kV</w:t>
      </w:r>
      <w:proofErr w:type="spellEnd"/>
      <w:r>
        <w:rPr>
          <w:rFonts w:ascii="Arial" w:eastAsia="Arial" w:hAnsi="Arial" w:cs="Arial"/>
          <w:sz w:val="22"/>
          <w:szCs w:val="22"/>
        </w:rPr>
        <w:t xml:space="preserve"> (FPO 2027)</w:t>
      </w:r>
    </w:p>
    <w:p w:rsidR="00CB693E" w:rsidRDefault="00E21F8A">
      <w:pPr>
        <w:numPr>
          <w:ilvl w:val="0"/>
          <w:numId w:val="13"/>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Alcaraván 230 </w:t>
      </w:r>
      <w:proofErr w:type="spellStart"/>
      <w:r>
        <w:rPr>
          <w:rFonts w:ascii="Arial" w:eastAsia="Arial" w:hAnsi="Arial" w:cs="Arial"/>
          <w:sz w:val="22"/>
          <w:szCs w:val="22"/>
        </w:rPr>
        <w:t>kV</w:t>
      </w:r>
      <w:proofErr w:type="spellEnd"/>
      <w:r>
        <w:rPr>
          <w:rFonts w:ascii="Arial" w:eastAsia="Arial" w:hAnsi="Arial" w:cs="Arial"/>
          <w:sz w:val="22"/>
          <w:szCs w:val="22"/>
        </w:rPr>
        <w:t xml:space="preserve"> (FPO 2027)</w:t>
      </w:r>
    </w:p>
    <w:p w:rsidR="00CB693E" w:rsidRDefault="00E21F8A">
      <w:pPr>
        <w:numPr>
          <w:ilvl w:val="0"/>
          <w:numId w:val="13"/>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Alcaraván 115 </w:t>
      </w:r>
      <w:proofErr w:type="spellStart"/>
      <w:r>
        <w:rPr>
          <w:rFonts w:ascii="Arial" w:eastAsia="Arial" w:hAnsi="Arial" w:cs="Arial"/>
          <w:sz w:val="22"/>
          <w:szCs w:val="22"/>
        </w:rPr>
        <w:t>kV</w:t>
      </w:r>
      <w:proofErr w:type="spellEnd"/>
      <w:r>
        <w:rPr>
          <w:rFonts w:ascii="Arial" w:eastAsia="Arial" w:hAnsi="Arial" w:cs="Arial"/>
          <w:sz w:val="22"/>
          <w:szCs w:val="22"/>
        </w:rPr>
        <w:t xml:space="preserve"> (FPO 2027)</w:t>
      </w:r>
    </w:p>
    <w:p w:rsidR="00CB693E" w:rsidRDefault="00E21F8A">
      <w:pPr>
        <w:numPr>
          <w:ilvl w:val="0"/>
          <w:numId w:val="13"/>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Bahía por 500 </w:t>
      </w:r>
      <w:proofErr w:type="spellStart"/>
      <w:r>
        <w:rPr>
          <w:rFonts w:ascii="Arial" w:eastAsia="Arial" w:hAnsi="Arial" w:cs="Arial"/>
          <w:sz w:val="22"/>
          <w:szCs w:val="22"/>
        </w:rPr>
        <w:t>kV</w:t>
      </w:r>
      <w:proofErr w:type="spellEnd"/>
      <w:r>
        <w:rPr>
          <w:rFonts w:ascii="Arial" w:eastAsia="Arial" w:hAnsi="Arial" w:cs="Arial"/>
          <w:sz w:val="22"/>
          <w:szCs w:val="22"/>
        </w:rPr>
        <w:t xml:space="preserve"> transformador Nueva esperanza 220 </w:t>
      </w:r>
      <w:proofErr w:type="spellStart"/>
      <w:r>
        <w:rPr>
          <w:rFonts w:ascii="Arial" w:eastAsia="Arial" w:hAnsi="Arial" w:cs="Arial"/>
          <w:sz w:val="22"/>
          <w:szCs w:val="22"/>
        </w:rPr>
        <w:t>kV</w:t>
      </w:r>
      <w:proofErr w:type="spellEnd"/>
      <w:r>
        <w:rPr>
          <w:rFonts w:ascii="Arial" w:eastAsia="Arial" w:hAnsi="Arial" w:cs="Arial"/>
          <w:sz w:val="22"/>
          <w:szCs w:val="22"/>
        </w:rPr>
        <w:t xml:space="preserve"> (FPO 2023)</w:t>
      </w:r>
    </w:p>
    <w:p w:rsidR="00CB693E" w:rsidRDefault="00CB693E">
      <w:pPr>
        <w:pBdr>
          <w:top w:val="nil"/>
          <w:left w:val="nil"/>
          <w:bottom w:val="nil"/>
          <w:right w:val="nil"/>
          <w:between w:val="nil"/>
        </w:pBdr>
        <w:tabs>
          <w:tab w:val="left" w:pos="284"/>
          <w:tab w:val="center" w:pos="4419"/>
          <w:tab w:val="right" w:pos="8838"/>
        </w:tabs>
        <w:ind w:left="720"/>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 xml:space="preserve">*Se propone evaluar la posibilidad de adelantar las FPO 's de los anteriores proyectos.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Subestaciones con configuración en anillo en el SIN:</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Recomendaciones de XM para definir los criterios en cuanto al número máximo de campos en esta configuración. Se deben definir acciones para reconfigurar las subestaciones existentes para que brinden mayor confiabilidad.</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Cruces de líneas: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XM tiene 1398 r</w:t>
      </w:r>
      <w:r>
        <w:rPr>
          <w:rFonts w:ascii="Arial" w:eastAsia="Arial" w:hAnsi="Arial" w:cs="Arial"/>
          <w:sz w:val="22"/>
          <w:szCs w:val="22"/>
        </w:rPr>
        <w:t>egistros, de los cuales 384 (27% datos) tienen información suficiente para ser clasificados y analizados. Cruces tipo 1 (únicamente elementos del SIN) 67 con 3 elementos o más, tipo 2 (elementos del STN y el STR) 112 involucran 3 elementos o más y tipo 3 (</w:t>
      </w:r>
      <w:r>
        <w:rPr>
          <w:rFonts w:ascii="Arial" w:eastAsia="Arial" w:hAnsi="Arial" w:cs="Arial"/>
          <w:sz w:val="22"/>
          <w:szCs w:val="22"/>
        </w:rPr>
        <w:t xml:space="preserve">únicamente elementos del STR).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Riesgos asociados a cruce de circuitos: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Se deben buscar alternativas económicamente viables para minimizar los cruces existentes y futuros entre líneas del STN y STR. Se recomienda establecer los criterios que deben ser i</w:t>
      </w:r>
      <w:r>
        <w:rPr>
          <w:rFonts w:ascii="Arial" w:eastAsia="Arial" w:hAnsi="Arial" w:cs="Arial"/>
          <w:sz w:val="22"/>
          <w:szCs w:val="22"/>
        </w:rPr>
        <w:t>ncluidos desde el DSI para que las soluciones técnicas y de mitigación a los cruces, se incluyan en las propuestas económicas de los agentes. Existen cruces críticos entre líneas AT del STN y STR.</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Conocer los riesgos permitirá evaluar la pertinencia de im</w:t>
      </w:r>
      <w:r>
        <w:rPr>
          <w:rFonts w:ascii="Arial" w:eastAsia="Arial" w:hAnsi="Arial" w:cs="Arial"/>
          <w:sz w:val="22"/>
          <w:szCs w:val="22"/>
        </w:rPr>
        <w:t xml:space="preserve">plementar las acciones técnicas necesarias para disminuir la probabilidad de falla y minimizar los cruces.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Capacidad y niveles de corto circuito subestaciones del SIN:</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lastRenderedPageBreak/>
        <w:t>Los proyectos futuros tendrán restricciones en algún valor n-(?). Se cuenta con info</w:t>
      </w:r>
      <w:r>
        <w:rPr>
          <w:rFonts w:ascii="Arial" w:eastAsia="Arial" w:hAnsi="Arial" w:cs="Arial"/>
          <w:sz w:val="22"/>
          <w:szCs w:val="22"/>
        </w:rPr>
        <w:t xml:space="preserve">rmación de 442 subestaciones. Para el año 2024 habrá 45 y 23 subestaciones con niveles de cortocircuito superiores al 90% y 100%, respectivamente.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Recomendaciones:</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numPr>
          <w:ilvl w:val="0"/>
          <w:numId w:val="5"/>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Operadores y propietarios deben realizar estudios de detalle del nivel de cortocircuito. </w:t>
      </w:r>
    </w:p>
    <w:p w:rsidR="00CB693E" w:rsidRDefault="00E21F8A">
      <w:pPr>
        <w:numPr>
          <w:ilvl w:val="0"/>
          <w:numId w:val="5"/>
        </w:num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Trabajar de manera conjunta con XM y la UPME para evaluar las acciones pertinentes para elevar la capacidad de cortocircuito.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color w:val="FF0000"/>
          <w:sz w:val="22"/>
          <w:szCs w:val="22"/>
        </w:rPr>
      </w:pP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color w:val="FF0000"/>
          <w:sz w:val="22"/>
          <w:szCs w:val="22"/>
        </w:rPr>
      </w:pPr>
    </w:p>
    <w:p w:rsidR="00CB693E" w:rsidRDefault="00E21F8A">
      <w:pPr>
        <w:numPr>
          <w:ilvl w:val="0"/>
          <w:numId w:val="11"/>
        </w:numPr>
        <w:pBdr>
          <w:top w:val="nil"/>
          <w:left w:val="nil"/>
          <w:bottom w:val="nil"/>
          <w:right w:val="nil"/>
          <w:between w:val="nil"/>
        </w:pBdr>
        <w:tabs>
          <w:tab w:val="left" w:pos="284"/>
          <w:tab w:val="center" w:pos="4419"/>
          <w:tab w:val="right" w:pos="8838"/>
        </w:tabs>
        <w:jc w:val="both"/>
        <w:rPr>
          <w:rFonts w:ascii="Arial" w:eastAsia="Arial" w:hAnsi="Arial" w:cs="Arial"/>
          <w:b/>
          <w:color w:val="000000"/>
          <w:sz w:val="22"/>
          <w:szCs w:val="22"/>
        </w:rPr>
      </w:pPr>
      <w:r>
        <w:rPr>
          <w:rFonts w:ascii="Arial" w:eastAsia="Arial" w:hAnsi="Arial" w:cs="Arial"/>
          <w:b/>
          <w:color w:val="000000"/>
          <w:sz w:val="22"/>
          <w:szCs w:val="22"/>
        </w:rPr>
        <w:t>Expansión solicitada y propuesta por los Operadores de Red y transmisores, así como las solicitudes de nivel de tensión 4 pen</w:t>
      </w:r>
      <w:r>
        <w:rPr>
          <w:rFonts w:ascii="Arial" w:eastAsia="Arial" w:hAnsi="Arial" w:cs="Arial"/>
          <w:b/>
          <w:color w:val="000000"/>
          <w:sz w:val="22"/>
          <w:szCs w:val="22"/>
        </w:rPr>
        <w:t>diente por evaluar.</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color w:val="FF0000"/>
          <w:sz w:val="22"/>
          <w:szCs w:val="22"/>
        </w:rPr>
      </w:pPr>
    </w:p>
    <w:p w:rsidR="00CB693E" w:rsidRDefault="00E21F8A">
      <w:pPr>
        <w:pBdr>
          <w:top w:val="nil"/>
          <w:left w:val="nil"/>
          <w:bottom w:val="nil"/>
          <w:right w:val="nil"/>
          <w:between w:val="nil"/>
        </w:pBdr>
        <w:tabs>
          <w:tab w:val="left" w:pos="284"/>
          <w:tab w:val="center" w:pos="4419"/>
          <w:tab w:val="right" w:pos="8838"/>
        </w:tabs>
        <w:ind w:left="502"/>
        <w:jc w:val="both"/>
        <w:rPr>
          <w:rFonts w:ascii="Arial" w:eastAsia="Arial" w:hAnsi="Arial" w:cs="Arial"/>
          <w:sz w:val="22"/>
          <w:szCs w:val="22"/>
        </w:rPr>
      </w:pPr>
      <w:r>
        <w:rPr>
          <w:rFonts w:ascii="Arial" w:eastAsia="Arial" w:hAnsi="Arial" w:cs="Arial"/>
          <w:color w:val="262626"/>
          <w:sz w:val="22"/>
          <w:szCs w:val="22"/>
        </w:rPr>
        <w:t xml:space="preserve">Luego de un breve receso, el ingeniero </w:t>
      </w:r>
      <w:proofErr w:type="spellStart"/>
      <w:r>
        <w:rPr>
          <w:rFonts w:ascii="Arial" w:eastAsia="Arial" w:hAnsi="Arial" w:cs="Arial"/>
          <w:color w:val="262626"/>
          <w:sz w:val="22"/>
          <w:szCs w:val="22"/>
        </w:rPr>
        <w:t>Cristhian</w:t>
      </w:r>
      <w:proofErr w:type="spellEnd"/>
      <w:r>
        <w:rPr>
          <w:rFonts w:ascii="Arial" w:eastAsia="Arial" w:hAnsi="Arial" w:cs="Arial"/>
          <w:color w:val="262626"/>
          <w:sz w:val="22"/>
          <w:szCs w:val="22"/>
        </w:rPr>
        <w:t xml:space="preserve"> de la UPME se dispone a presentar a los miembros del CAPT el levantamiento realizado por la Unidad de las obras de expansión propuestas por los OR en sus planes de expansión.</w:t>
      </w:r>
      <w:r>
        <w:rPr>
          <w:rFonts w:ascii="Arial" w:eastAsia="Arial" w:hAnsi="Arial" w:cs="Arial"/>
          <w:color w:val="262626"/>
          <w:sz w:val="22"/>
          <w:szCs w:val="22"/>
        </w:rPr>
        <w:br/>
      </w:r>
      <w:r>
        <w:rPr>
          <w:rFonts w:ascii="Arial" w:eastAsia="Arial" w:hAnsi="Arial" w:cs="Arial"/>
          <w:color w:val="262626"/>
          <w:sz w:val="22"/>
          <w:szCs w:val="22"/>
        </w:rPr>
        <w:br/>
      </w:r>
      <w:r>
        <w:rPr>
          <w:rFonts w:ascii="Arial" w:eastAsia="Arial" w:hAnsi="Arial" w:cs="Arial"/>
          <w:color w:val="262626"/>
          <w:sz w:val="22"/>
          <w:szCs w:val="22"/>
        </w:rPr>
        <w:t>Entre las obras de expansión en estudio, figuran las siguiente</w:t>
      </w:r>
      <w:r>
        <w:rPr>
          <w:rFonts w:ascii="Arial" w:eastAsia="Arial" w:hAnsi="Arial" w:cs="Arial"/>
          <w:sz w:val="22"/>
          <w:szCs w:val="22"/>
        </w:rPr>
        <w:t>s:</w:t>
      </w: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Subestación La Uribe 220/115 </w:t>
      </w:r>
      <w:proofErr w:type="spellStart"/>
      <w:r>
        <w:rPr>
          <w:rFonts w:ascii="Arial" w:eastAsia="Arial" w:hAnsi="Arial" w:cs="Arial"/>
          <w:sz w:val="22"/>
          <w:szCs w:val="22"/>
        </w:rPr>
        <w:t>kV</w:t>
      </w:r>
      <w:proofErr w:type="spellEnd"/>
      <w:r>
        <w:rPr>
          <w:rFonts w:ascii="Arial" w:eastAsia="Arial" w:hAnsi="Arial" w:cs="Arial"/>
          <w:sz w:val="22"/>
          <w:szCs w:val="22"/>
        </w:rPr>
        <w:t xml:space="preserve"> al STN reconfigurando los circuitos Tuluá - Zarzal 115 </w:t>
      </w:r>
      <w:proofErr w:type="spellStart"/>
      <w:r>
        <w:rPr>
          <w:rFonts w:ascii="Arial" w:eastAsia="Arial" w:hAnsi="Arial" w:cs="Arial"/>
          <w:sz w:val="22"/>
          <w:szCs w:val="22"/>
        </w:rPr>
        <w:t>kV</w:t>
      </w:r>
      <w:proofErr w:type="spellEnd"/>
      <w:r>
        <w:rPr>
          <w:rFonts w:ascii="Arial" w:eastAsia="Arial" w:hAnsi="Arial" w:cs="Arial"/>
          <w:sz w:val="22"/>
          <w:szCs w:val="22"/>
        </w:rPr>
        <w:t xml:space="preserve"> y San Marcos - Cartago 220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Valle).</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Subestación La Villa al STN a través de la reconfigur</w:t>
      </w:r>
      <w:r>
        <w:rPr>
          <w:rFonts w:ascii="Arial" w:eastAsia="Arial" w:hAnsi="Arial" w:cs="Arial"/>
          <w:sz w:val="22"/>
          <w:szCs w:val="22"/>
        </w:rPr>
        <w:t>ación de los circuitos Cartago - San Marcos y Tuluá - Buga (</w:t>
      </w:r>
      <w:proofErr w:type="spellStart"/>
      <w:r>
        <w:rPr>
          <w:rFonts w:ascii="Arial" w:eastAsia="Arial" w:hAnsi="Arial" w:cs="Arial"/>
          <w:sz w:val="22"/>
          <w:szCs w:val="22"/>
        </w:rPr>
        <w:t>Subárea</w:t>
      </w:r>
      <w:proofErr w:type="spellEnd"/>
      <w:r>
        <w:rPr>
          <w:rFonts w:ascii="Arial" w:eastAsia="Arial" w:hAnsi="Arial" w:cs="Arial"/>
          <w:sz w:val="22"/>
          <w:szCs w:val="22"/>
        </w:rPr>
        <w:t xml:space="preserve"> Valle).</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Subestación Canoas al STN a través de la reconfiguración de los circuitos Buga - Calima 115 </w:t>
      </w:r>
      <w:proofErr w:type="spellStart"/>
      <w:r>
        <w:rPr>
          <w:rFonts w:ascii="Arial" w:eastAsia="Arial" w:hAnsi="Arial" w:cs="Arial"/>
          <w:sz w:val="22"/>
          <w:szCs w:val="22"/>
        </w:rPr>
        <w:t>kV</w:t>
      </w:r>
      <w:proofErr w:type="spellEnd"/>
      <w:r>
        <w:rPr>
          <w:rFonts w:ascii="Arial" w:eastAsia="Arial" w:hAnsi="Arial" w:cs="Arial"/>
          <w:sz w:val="22"/>
          <w:szCs w:val="22"/>
        </w:rPr>
        <w:t xml:space="preserve"> y San Marcos - Cartago 220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Valle).</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Subestación Jardín 220/115 </w:t>
      </w:r>
      <w:proofErr w:type="spellStart"/>
      <w:r>
        <w:rPr>
          <w:rFonts w:ascii="Arial" w:eastAsia="Arial" w:hAnsi="Arial" w:cs="Arial"/>
          <w:sz w:val="22"/>
          <w:szCs w:val="22"/>
        </w:rPr>
        <w:t>kV</w:t>
      </w:r>
      <w:proofErr w:type="spellEnd"/>
      <w:r>
        <w:rPr>
          <w:rFonts w:ascii="Arial" w:eastAsia="Arial" w:hAnsi="Arial" w:cs="Arial"/>
          <w:sz w:val="22"/>
          <w:szCs w:val="22"/>
        </w:rPr>
        <w:t xml:space="preserve"> al STN</w:t>
      </w:r>
      <w:r>
        <w:rPr>
          <w:rFonts w:ascii="Arial" w:eastAsia="Arial" w:hAnsi="Arial" w:cs="Arial"/>
          <w:sz w:val="22"/>
          <w:szCs w:val="22"/>
        </w:rPr>
        <w:t xml:space="preserve"> a través de la reconfiguración de los circuitos Juanchito - Alférez y Estambul - Juanchito (</w:t>
      </w:r>
      <w:proofErr w:type="spellStart"/>
      <w:r>
        <w:rPr>
          <w:rFonts w:ascii="Arial" w:eastAsia="Arial" w:hAnsi="Arial" w:cs="Arial"/>
          <w:sz w:val="22"/>
          <w:szCs w:val="22"/>
        </w:rPr>
        <w:t>Subárea</w:t>
      </w:r>
      <w:proofErr w:type="spellEnd"/>
      <w:r>
        <w:rPr>
          <w:rFonts w:ascii="Arial" w:eastAsia="Arial" w:hAnsi="Arial" w:cs="Arial"/>
          <w:sz w:val="22"/>
          <w:szCs w:val="22"/>
        </w:rPr>
        <w:t xml:space="preserve"> Valle).</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Construcción de la nueva subestación </w:t>
      </w:r>
      <w:proofErr w:type="spellStart"/>
      <w:r>
        <w:rPr>
          <w:rFonts w:ascii="Arial" w:eastAsia="Arial" w:hAnsi="Arial" w:cs="Arial"/>
          <w:sz w:val="22"/>
          <w:szCs w:val="22"/>
        </w:rPr>
        <w:t>Guanentá</w:t>
      </w:r>
      <w:proofErr w:type="spellEnd"/>
      <w:r>
        <w:rPr>
          <w:rFonts w:ascii="Arial" w:eastAsia="Arial" w:hAnsi="Arial" w:cs="Arial"/>
          <w:sz w:val="22"/>
          <w:szCs w:val="22"/>
        </w:rPr>
        <w:t xml:space="preserve"> 115 </w:t>
      </w:r>
      <w:proofErr w:type="spellStart"/>
      <w:r>
        <w:rPr>
          <w:rFonts w:ascii="Arial" w:eastAsia="Arial" w:hAnsi="Arial" w:cs="Arial"/>
          <w:sz w:val="22"/>
          <w:szCs w:val="22"/>
        </w:rPr>
        <w:t>kV</w:t>
      </w:r>
      <w:proofErr w:type="spellEnd"/>
      <w:r>
        <w:rPr>
          <w:rFonts w:ascii="Arial" w:eastAsia="Arial" w:hAnsi="Arial" w:cs="Arial"/>
          <w:sz w:val="22"/>
          <w:szCs w:val="22"/>
        </w:rPr>
        <w:t xml:space="preserve"> y la nueva subestación Málaga 115 </w:t>
      </w:r>
      <w:proofErr w:type="spellStart"/>
      <w:r>
        <w:rPr>
          <w:rFonts w:ascii="Arial" w:eastAsia="Arial" w:hAnsi="Arial" w:cs="Arial"/>
          <w:sz w:val="22"/>
          <w:szCs w:val="22"/>
        </w:rPr>
        <w:t>kV</w:t>
      </w:r>
      <w:proofErr w:type="spellEnd"/>
      <w:r>
        <w:rPr>
          <w:rFonts w:ascii="Arial" w:eastAsia="Arial" w:hAnsi="Arial" w:cs="Arial"/>
          <w:sz w:val="22"/>
          <w:szCs w:val="22"/>
        </w:rPr>
        <w:t xml:space="preserve">. Normalización de una línea de transmisión a 115 </w:t>
      </w:r>
      <w:proofErr w:type="spellStart"/>
      <w:r>
        <w:rPr>
          <w:rFonts w:ascii="Arial" w:eastAsia="Arial" w:hAnsi="Arial" w:cs="Arial"/>
          <w:sz w:val="22"/>
          <w:szCs w:val="22"/>
        </w:rPr>
        <w:t>kV</w:t>
      </w:r>
      <w:proofErr w:type="spellEnd"/>
      <w:r>
        <w:rPr>
          <w:rFonts w:ascii="Arial" w:eastAsia="Arial" w:hAnsi="Arial" w:cs="Arial"/>
          <w:sz w:val="22"/>
          <w:szCs w:val="22"/>
        </w:rPr>
        <w:t xml:space="preserve"> entr</w:t>
      </w:r>
      <w:r>
        <w:rPr>
          <w:rFonts w:ascii="Arial" w:eastAsia="Arial" w:hAnsi="Arial" w:cs="Arial"/>
          <w:sz w:val="22"/>
          <w:szCs w:val="22"/>
        </w:rPr>
        <w:t>e estas dos subestaciones (</w:t>
      </w:r>
      <w:proofErr w:type="spellStart"/>
      <w:r>
        <w:rPr>
          <w:rFonts w:ascii="Arial" w:eastAsia="Arial" w:hAnsi="Arial" w:cs="Arial"/>
          <w:sz w:val="22"/>
          <w:szCs w:val="22"/>
        </w:rPr>
        <w:t>Subárea</w:t>
      </w:r>
      <w:proofErr w:type="spellEnd"/>
      <w:r>
        <w:rPr>
          <w:rFonts w:ascii="Arial" w:eastAsia="Arial" w:hAnsi="Arial" w:cs="Arial"/>
          <w:sz w:val="22"/>
          <w:szCs w:val="22"/>
        </w:rPr>
        <w:t xml:space="preserve"> Santander).</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Nueva línea de transmisión a 230 </w:t>
      </w:r>
      <w:proofErr w:type="spellStart"/>
      <w:r>
        <w:rPr>
          <w:rFonts w:ascii="Arial" w:eastAsia="Arial" w:hAnsi="Arial" w:cs="Arial"/>
          <w:sz w:val="22"/>
          <w:szCs w:val="22"/>
        </w:rPr>
        <w:t>kV</w:t>
      </w:r>
      <w:proofErr w:type="spellEnd"/>
      <w:r>
        <w:rPr>
          <w:rFonts w:ascii="Arial" w:eastAsia="Arial" w:hAnsi="Arial" w:cs="Arial"/>
          <w:sz w:val="22"/>
          <w:szCs w:val="22"/>
        </w:rPr>
        <w:t xml:space="preserve"> con sus bahías de línea asociadas, de aproximadamente 11 km desde la subestación Barranca hasta la subestación Comuneros (</w:t>
      </w:r>
      <w:proofErr w:type="spellStart"/>
      <w:r>
        <w:rPr>
          <w:rFonts w:ascii="Arial" w:eastAsia="Arial" w:hAnsi="Arial" w:cs="Arial"/>
          <w:sz w:val="22"/>
          <w:szCs w:val="22"/>
        </w:rPr>
        <w:t>Subárea</w:t>
      </w:r>
      <w:proofErr w:type="spellEnd"/>
      <w:r>
        <w:rPr>
          <w:rFonts w:ascii="Arial" w:eastAsia="Arial" w:hAnsi="Arial" w:cs="Arial"/>
          <w:sz w:val="22"/>
          <w:szCs w:val="22"/>
        </w:rPr>
        <w:t xml:space="preserve"> Santander).</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Expandir la Capacidad de tran</w:t>
      </w:r>
      <w:r>
        <w:rPr>
          <w:rFonts w:ascii="Arial" w:eastAsia="Arial" w:hAnsi="Arial" w:cs="Arial"/>
          <w:sz w:val="22"/>
          <w:szCs w:val="22"/>
        </w:rPr>
        <w:t xml:space="preserve">sporte de la subestación Mesa del Sol 115 </w:t>
      </w:r>
      <w:proofErr w:type="spellStart"/>
      <w:r>
        <w:rPr>
          <w:rFonts w:ascii="Arial" w:eastAsia="Arial" w:hAnsi="Arial" w:cs="Arial"/>
          <w:sz w:val="22"/>
          <w:szCs w:val="22"/>
        </w:rPr>
        <w:t>kV</w:t>
      </w:r>
      <w:proofErr w:type="spellEnd"/>
      <w:r>
        <w:rPr>
          <w:rFonts w:ascii="Arial" w:eastAsia="Arial" w:hAnsi="Arial" w:cs="Arial"/>
          <w:sz w:val="22"/>
          <w:szCs w:val="22"/>
        </w:rPr>
        <w:t xml:space="preserve"> mediante las siguientes alternativas: A1: Instalación de FACTS distribuidos, A2: </w:t>
      </w:r>
      <w:r>
        <w:rPr>
          <w:rFonts w:ascii="Arial" w:eastAsia="Arial" w:hAnsi="Arial" w:cs="Arial"/>
          <w:sz w:val="22"/>
          <w:szCs w:val="22"/>
        </w:rPr>
        <w:lastRenderedPageBreak/>
        <w:t xml:space="preserve">Nueva línea Mesa del Sol - Piedecuesta 115 </w:t>
      </w:r>
      <w:proofErr w:type="spellStart"/>
      <w:r>
        <w:rPr>
          <w:rFonts w:ascii="Arial" w:eastAsia="Arial" w:hAnsi="Arial" w:cs="Arial"/>
          <w:sz w:val="22"/>
          <w:szCs w:val="22"/>
        </w:rPr>
        <w:t>kV</w:t>
      </w:r>
      <w:proofErr w:type="spellEnd"/>
      <w:r>
        <w:rPr>
          <w:rFonts w:ascii="Arial" w:eastAsia="Arial" w:hAnsi="Arial" w:cs="Arial"/>
          <w:sz w:val="22"/>
          <w:szCs w:val="22"/>
        </w:rPr>
        <w:t xml:space="preserve">, A3: Repotenciación de la línea Mesa del Sol - Piedecuesta 115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Santander</w:t>
      </w:r>
      <w:r>
        <w:rPr>
          <w:rFonts w:ascii="Arial" w:eastAsia="Arial" w:hAnsi="Arial" w:cs="Arial"/>
          <w:sz w:val="22"/>
          <w:szCs w:val="22"/>
        </w:rPr>
        <w:t>).</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Nueva subestación </w:t>
      </w:r>
      <w:proofErr w:type="spellStart"/>
      <w:r>
        <w:rPr>
          <w:rFonts w:ascii="Arial" w:eastAsia="Arial" w:hAnsi="Arial" w:cs="Arial"/>
          <w:sz w:val="22"/>
          <w:szCs w:val="22"/>
        </w:rPr>
        <w:t>Tonchalá</w:t>
      </w:r>
      <w:proofErr w:type="spellEnd"/>
      <w:r>
        <w:rPr>
          <w:rFonts w:ascii="Arial" w:eastAsia="Arial" w:hAnsi="Arial" w:cs="Arial"/>
          <w:sz w:val="22"/>
          <w:szCs w:val="22"/>
        </w:rPr>
        <w:t xml:space="preserve"> 220 </w:t>
      </w:r>
      <w:proofErr w:type="spellStart"/>
      <w:r>
        <w:rPr>
          <w:rFonts w:ascii="Arial" w:eastAsia="Arial" w:hAnsi="Arial" w:cs="Arial"/>
          <w:sz w:val="22"/>
          <w:szCs w:val="22"/>
        </w:rPr>
        <w:t>kV</w:t>
      </w:r>
      <w:proofErr w:type="spellEnd"/>
      <w:r>
        <w:rPr>
          <w:rFonts w:ascii="Arial" w:eastAsia="Arial" w:hAnsi="Arial" w:cs="Arial"/>
          <w:sz w:val="22"/>
          <w:szCs w:val="22"/>
        </w:rPr>
        <w:t xml:space="preserve"> propuesta (</w:t>
      </w:r>
      <w:proofErr w:type="spellStart"/>
      <w:r>
        <w:rPr>
          <w:rFonts w:ascii="Arial" w:eastAsia="Arial" w:hAnsi="Arial" w:cs="Arial"/>
          <w:sz w:val="22"/>
          <w:szCs w:val="22"/>
        </w:rPr>
        <w:t>Subárea</w:t>
      </w:r>
      <w:proofErr w:type="spellEnd"/>
      <w:r>
        <w:rPr>
          <w:rFonts w:ascii="Arial" w:eastAsia="Arial" w:hAnsi="Arial" w:cs="Arial"/>
          <w:sz w:val="22"/>
          <w:szCs w:val="22"/>
        </w:rPr>
        <w:t xml:space="preserve"> Norte de Santander).</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Nueva subestación Sahagún 110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Córdoba - Sucre).</w:t>
      </w:r>
    </w:p>
    <w:p w:rsidR="00CB693E" w:rsidRDefault="00CB693E">
      <w:pPr>
        <w:tabs>
          <w:tab w:val="left" w:pos="284"/>
          <w:tab w:val="center" w:pos="4419"/>
          <w:tab w:val="right" w:pos="8838"/>
        </w:tabs>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Nueva subestación Lorica 110 </w:t>
      </w:r>
      <w:proofErr w:type="spellStart"/>
      <w:r>
        <w:rPr>
          <w:rFonts w:ascii="Arial" w:eastAsia="Arial" w:hAnsi="Arial" w:cs="Arial"/>
          <w:sz w:val="22"/>
          <w:szCs w:val="22"/>
        </w:rPr>
        <w:t>kV</w:t>
      </w:r>
      <w:proofErr w:type="spellEnd"/>
      <w:r>
        <w:rPr>
          <w:rFonts w:ascii="Arial" w:eastAsia="Arial" w:hAnsi="Arial" w:cs="Arial"/>
          <w:sz w:val="22"/>
          <w:szCs w:val="22"/>
        </w:rPr>
        <w:t xml:space="preserve"> y obras asociadas (</w:t>
      </w:r>
      <w:proofErr w:type="spellStart"/>
      <w:r>
        <w:rPr>
          <w:rFonts w:ascii="Arial" w:eastAsia="Arial" w:hAnsi="Arial" w:cs="Arial"/>
          <w:sz w:val="22"/>
          <w:szCs w:val="22"/>
        </w:rPr>
        <w:t>Subárea</w:t>
      </w:r>
      <w:proofErr w:type="spellEnd"/>
      <w:r>
        <w:rPr>
          <w:rFonts w:ascii="Arial" w:eastAsia="Arial" w:hAnsi="Arial" w:cs="Arial"/>
          <w:sz w:val="22"/>
          <w:szCs w:val="22"/>
        </w:rPr>
        <w:t xml:space="preserve"> Córdoba - Sucre).</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Nuevo corredor La Loma - El Banco - </w:t>
      </w:r>
      <w:proofErr w:type="spellStart"/>
      <w:r>
        <w:rPr>
          <w:rFonts w:ascii="Arial" w:eastAsia="Arial" w:hAnsi="Arial" w:cs="Arial"/>
          <w:sz w:val="22"/>
          <w:szCs w:val="22"/>
        </w:rPr>
        <w:t>Mompox</w:t>
      </w:r>
      <w:proofErr w:type="spellEnd"/>
      <w:r>
        <w:rPr>
          <w:rFonts w:ascii="Arial" w:eastAsia="Arial" w:hAnsi="Arial" w:cs="Arial"/>
          <w:sz w:val="22"/>
          <w:szCs w:val="22"/>
        </w:rPr>
        <w:t xml:space="preserve"> 110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Bolívar - GCM).</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Segundo circuito </w:t>
      </w:r>
      <w:proofErr w:type="spellStart"/>
      <w:r>
        <w:rPr>
          <w:rFonts w:ascii="Arial" w:eastAsia="Arial" w:hAnsi="Arial" w:cs="Arial"/>
          <w:sz w:val="22"/>
          <w:szCs w:val="22"/>
        </w:rPr>
        <w:t>Chinú</w:t>
      </w:r>
      <w:proofErr w:type="spellEnd"/>
      <w:r>
        <w:rPr>
          <w:rFonts w:ascii="Arial" w:eastAsia="Arial" w:hAnsi="Arial" w:cs="Arial"/>
          <w:sz w:val="22"/>
          <w:szCs w:val="22"/>
        </w:rPr>
        <w:t xml:space="preserve"> - </w:t>
      </w:r>
      <w:proofErr w:type="spellStart"/>
      <w:r>
        <w:rPr>
          <w:rFonts w:ascii="Arial" w:eastAsia="Arial" w:hAnsi="Arial" w:cs="Arial"/>
          <w:sz w:val="22"/>
          <w:szCs w:val="22"/>
        </w:rPr>
        <w:t>Toluviejo</w:t>
      </w:r>
      <w:proofErr w:type="spellEnd"/>
      <w:r>
        <w:rPr>
          <w:rFonts w:ascii="Arial" w:eastAsia="Arial" w:hAnsi="Arial" w:cs="Arial"/>
          <w:sz w:val="22"/>
          <w:szCs w:val="22"/>
        </w:rPr>
        <w:t xml:space="preserve"> - Bolívar 220 </w:t>
      </w:r>
      <w:proofErr w:type="spellStart"/>
      <w:r>
        <w:rPr>
          <w:rFonts w:ascii="Arial" w:eastAsia="Arial" w:hAnsi="Arial" w:cs="Arial"/>
          <w:sz w:val="22"/>
          <w:szCs w:val="22"/>
        </w:rPr>
        <w:t>kV</w:t>
      </w:r>
      <w:proofErr w:type="spellEnd"/>
      <w:r>
        <w:rPr>
          <w:rFonts w:ascii="Arial" w:eastAsia="Arial" w:hAnsi="Arial" w:cs="Arial"/>
          <w:sz w:val="22"/>
          <w:szCs w:val="22"/>
        </w:rPr>
        <w:t>, sin solicitud de Unidades Constructivas (</w:t>
      </w:r>
      <w:proofErr w:type="spellStart"/>
      <w:r>
        <w:rPr>
          <w:rFonts w:ascii="Arial" w:eastAsia="Arial" w:hAnsi="Arial" w:cs="Arial"/>
          <w:sz w:val="22"/>
          <w:szCs w:val="22"/>
        </w:rPr>
        <w:t>Subárea</w:t>
      </w:r>
      <w:proofErr w:type="spellEnd"/>
      <w:r>
        <w:rPr>
          <w:rFonts w:ascii="Arial" w:eastAsia="Arial" w:hAnsi="Arial" w:cs="Arial"/>
          <w:sz w:val="22"/>
          <w:szCs w:val="22"/>
        </w:rPr>
        <w:t xml:space="preserve"> Bolívar - Córdoba - Sucre).</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Solicitud de concepto de normalización del barraj</w:t>
      </w:r>
      <w:r>
        <w:rPr>
          <w:rFonts w:ascii="Arial" w:eastAsia="Arial" w:hAnsi="Arial" w:cs="Arial"/>
          <w:sz w:val="22"/>
          <w:szCs w:val="22"/>
        </w:rPr>
        <w:t xml:space="preserve">e 110 </w:t>
      </w:r>
      <w:proofErr w:type="spellStart"/>
      <w:r>
        <w:rPr>
          <w:rFonts w:ascii="Arial" w:eastAsia="Arial" w:hAnsi="Arial" w:cs="Arial"/>
          <w:sz w:val="22"/>
          <w:szCs w:val="22"/>
        </w:rPr>
        <w:t>kV</w:t>
      </w:r>
      <w:proofErr w:type="spellEnd"/>
      <w:r>
        <w:rPr>
          <w:rFonts w:ascii="Arial" w:eastAsia="Arial" w:hAnsi="Arial" w:cs="Arial"/>
          <w:sz w:val="22"/>
          <w:szCs w:val="22"/>
        </w:rPr>
        <w:t xml:space="preserve"> S/E Manzanares (</w:t>
      </w:r>
      <w:proofErr w:type="spellStart"/>
      <w:r>
        <w:rPr>
          <w:rFonts w:ascii="Arial" w:eastAsia="Arial" w:hAnsi="Arial" w:cs="Arial"/>
          <w:sz w:val="22"/>
          <w:szCs w:val="22"/>
        </w:rPr>
        <w:t>Subárea</w:t>
      </w:r>
      <w:proofErr w:type="spellEnd"/>
      <w:r>
        <w:rPr>
          <w:rFonts w:ascii="Arial" w:eastAsia="Arial" w:hAnsi="Arial" w:cs="Arial"/>
          <w:sz w:val="22"/>
          <w:szCs w:val="22"/>
        </w:rPr>
        <w:t xml:space="preserve"> GCM).</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Subestación Nueva </w:t>
      </w:r>
      <w:proofErr w:type="spellStart"/>
      <w:r>
        <w:rPr>
          <w:rFonts w:ascii="Arial" w:eastAsia="Arial" w:hAnsi="Arial" w:cs="Arial"/>
          <w:sz w:val="22"/>
          <w:szCs w:val="22"/>
        </w:rPr>
        <w:t>Bosconia</w:t>
      </w:r>
      <w:proofErr w:type="spellEnd"/>
      <w:r>
        <w:rPr>
          <w:rFonts w:ascii="Arial" w:eastAsia="Arial" w:hAnsi="Arial" w:cs="Arial"/>
          <w:sz w:val="22"/>
          <w:szCs w:val="22"/>
        </w:rPr>
        <w:t xml:space="preserve"> 110/34,5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GCM).</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Subestación </w:t>
      </w:r>
      <w:proofErr w:type="spellStart"/>
      <w:r>
        <w:rPr>
          <w:rFonts w:ascii="Arial" w:eastAsia="Arial" w:hAnsi="Arial" w:cs="Arial"/>
          <w:sz w:val="22"/>
          <w:szCs w:val="22"/>
        </w:rPr>
        <w:t>Uribia</w:t>
      </w:r>
      <w:proofErr w:type="spellEnd"/>
      <w:r>
        <w:rPr>
          <w:rFonts w:ascii="Arial" w:eastAsia="Arial" w:hAnsi="Arial" w:cs="Arial"/>
          <w:sz w:val="22"/>
          <w:szCs w:val="22"/>
        </w:rPr>
        <w:t xml:space="preserve"> 110/34,5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GCM).</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Subestación Almendros 110/13,8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GCM).</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Subestación Nueva Fundación 110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GCM).</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color w:val="000000"/>
          <w:sz w:val="22"/>
          <w:szCs w:val="22"/>
        </w:rPr>
      </w:pPr>
      <w:r>
        <w:rPr>
          <w:rFonts w:ascii="Arial" w:eastAsia="Arial" w:hAnsi="Arial" w:cs="Arial"/>
          <w:sz w:val="22"/>
          <w:szCs w:val="22"/>
        </w:rPr>
        <w:t xml:space="preserve">Cambio del transformador subestación </w:t>
      </w:r>
      <w:proofErr w:type="spellStart"/>
      <w:r>
        <w:rPr>
          <w:rFonts w:ascii="Arial" w:eastAsia="Arial" w:hAnsi="Arial" w:cs="Arial"/>
          <w:sz w:val="22"/>
          <w:szCs w:val="22"/>
        </w:rPr>
        <w:t>Guavio</w:t>
      </w:r>
      <w:proofErr w:type="spellEnd"/>
      <w:r>
        <w:rPr>
          <w:rFonts w:ascii="Arial" w:eastAsia="Arial" w:hAnsi="Arial" w:cs="Arial"/>
          <w:sz w:val="22"/>
          <w:szCs w:val="22"/>
        </w:rPr>
        <w:t xml:space="preserve"> 230/115 </w:t>
      </w:r>
      <w:proofErr w:type="spellStart"/>
      <w:r>
        <w:rPr>
          <w:rFonts w:ascii="Arial" w:eastAsia="Arial" w:hAnsi="Arial" w:cs="Arial"/>
          <w:sz w:val="22"/>
          <w:szCs w:val="22"/>
        </w:rPr>
        <w:t>kV</w:t>
      </w:r>
      <w:proofErr w:type="spellEnd"/>
      <w:r>
        <w:rPr>
          <w:rFonts w:ascii="Arial" w:eastAsia="Arial" w:hAnsi="Arial" w:cs="Arial"/>
          <w:sz w:val="22"/>
          <w:szCs w:val="22"/>
        </w:rPr>
        <w:t xml:space="preserve"> de 40 MVA a 90 MVA (</w:t>
      </w:r>
      <w:proofErr w:type="spellStart"/>
      <w:r>
        <w:rPr>
          <w:rFonts w:ascii="Arial" w:eastAsia="Arial" w:hAnsi="Arial" w:cs="Arial"/>
          <w:sz w:val="22"/>
          <w:szCs w:val="22"/>
        </w:rPr>
        <w:t>Subárea</w:t>
      </w:r>
      <w:proofErr w:type="spellEnd"/>
      <w:r>
        <w:rPr>
          <w:rFonts w:ascii="Arial" w:eastAsia="Arial" w:hAnsi="Arial" w:cs="Arial"/>
          <w:sz w:val="22"/>
          <w:szCs w:val="22"/>
        </w:rPr>
        <w:t xml:space="preserve"> Oriental).</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eléctrica </w:t>
      </w:r>
      <w:proofErr w:type="spellStart"/>
      <w:r>
        <w:rPr>
          <w:rFonts w:ascii="Arial" w:eastAsia="Arial" w:hAnsi="Arial" w:cs="Arial"/>
          <w:sz w:val="22"/>
          <w:szCs w:val="22"/>
        </w:rPr>
        <w:t>Intexzona</w:t>
      </w:r>
      <w:proofErr w:type="spellEnd"/>
      <w:r>
        <w:rPr>
          <w:rFonts w:ascii="Arial" w:eastAsia="Arial" w:hAnsi="Arial" w:cs="Arial"/>
          <w:sz w:val="22"/>
          <w:szCs w:val="22"/>
        </w:rPr>
        <w:t xml:space="preserve"> 115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Oriental).</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Sopó 230/115 </w:t>
      </w:r>
      <w:proofErr w:type="spellStart"/>
      <w:r>
        <w:rPr>
          <w:rFonts w:ascii="Arial" w:eastAsia="Arial" w:hAnsi="Arial" w:cs="Arial"/>
          <w:sz w:val="22"/>
          <w:szCs w:val="22"/>
        </w:rPr>
        <w:t>kV</w:t>
      </w:r>
      <w:proofErr w:type="spellEnd"/>
      <w:r>
        <w:rPr>
          <w:rFonts w:ascii="Arial" w:eastAsia="Arial" w:hAnsi="Arial" w:cs="Arial"/>
          <w:sz w:val="22"/>
          <w:szCs w:val="22"/>
        </w:rPr>
        <w:t xml:space="preserve"> y líneas asociadas (</w:t>
      </w:r>
      <w:proofErr w:type="spellStart"/>
      <w:r>
        <w:rPr>
          <w:rFonts w:ascii="Arial" w:eastAsia="Arial" w:hAnsi="Arial" w:cs="Arial"/>
          <w:sz w:val="22"/>
          <w:szCs w:val="22"/>
        </w:rPr>
        <w:t>Subárea</w:t>
      </w:r>
      <w:proofErr w:type="spellEnd"/>
      <w:r>
        <w:rPr>
          <w:rFonts w:ascii="Arial" w:eastAsia="Arial" w:hAnsi="Arial" w:cs="Arial"/>
          <w:sz w:val="22"/>
          <w:szCs w:val="22"/>
        </w:rPr>
        <w:t xml:space="preserve"> Oriental).</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Corzo 500/115 </w:t>
      </w:r>
      <w:proofErr w:type="spellStart"/>
      <w:r>
        <w:rPr>
          <w:rFonts w:ascii="Arial" w:eastAsia="Arial" w:hAnsi="Arial" w:cs="Arial"/>
          <w:sz w:val="22"/>
          <w:szCs w:val="22"/>
        </w:rPr>
        <w:t>kV</w:t>
      </w:r>
      <w:proofErr w:type="spellEnd"/>
      <w:r>
        <w:rPr>
          <w:rFonts w:ascii="Arial" w:eastAsia="Arial" w:hAnsi="Arial" w:cs="Arial"/>
          <w:sz w:val="22"/>
          <w:szCs w:val="22"/>
        </w:rPr>
        <w:t xml:space="preserve"> y lí</w:t>
      </w:r>
      <w:r>
        <w:rPr>
          <w:rFonts w:ascii="Arial" w:eastAsia="Arial" w:hAnsi="Arial" w:cs="Arial"/>
          <w:sz w:val="22"/>
          <w:szCs w:val="22"/>
        </w:rPr>
        <w:t>neas asociadas (</w:t>
      </w:r>
      <w:proofErr w:type="spellStart"/>
      <w:r>
        <w:rPr>
          <w:rFonts w:ascii="Arial" w:eastAsia="Arial" w:hAnsi="Arial" w:cs="Arial"/>
          <w:sz w:val="22"/>
          <w:szCs w:val="22"/>
        </w:rPr>
        <w:t>Subárea</w:t>
      </w:r>
      <w:proofErr w:type="spellEnd"/>
      <w:r>
        <w:rPr>
          <w:rFonts w:ascii="Arial" w:eastAsia="Arial" w:hAnsi="Arial" w:cs="Arial"/>
          <w:sz w:val="22"/>
          <w:szCs w:val="22"/>
        </w:rPr>
        <w:t xml:space="preserve"> Oriental).</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Interconexión de las subregiones Nordeste - Urabá a 220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Oriental).</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Lagunas 220 </w:t>
      </w:r>
      <w:proofErr w:type="spellStart"/>
      <w:r>
        <w:rPr>
          <w:rFonts w:ascii="Arial" w:eastAsia="Arial" w:hAnsi="Arial" w:cs="Arial"/>
          <w:sz w:val="22"/>
          <w:szCs w:val="22"/>
        </w:rPr>
        <w:t>kV</w:t>
      </w:r>
      <w:proofErr w:type="spellEnd"/>
      <w:r>
        <w:rPr>
          <w:rFonts w:ascii="Arial" w:eastAsia="Arial" w:hAnsi="Arial" w:cs="Arial"/>
          <w:sz w:val="22"/>
          <w:szCs w:val="22"/>
        </w:rPr>
        <w:t xml:space="preserve"> y </w:t>
      </w:r>
      <w:proofErr w:type="spellStart"/>
      <w:r>
        <w:rPr>
          <w:rFonts w:ascii="Arial" w:eastAsia="Arial" w:hAnsi="Arial" w:cs="Arial"/>
          <w:sz w:val="22"/>
          <w:szCs w:val="22"/>
        </w:rPr>
        <w:t>Guarcama</w:t>
      </w:r>
      <w:proofErr w:type="spellEnd"/>
      <w:r>
        <w:rPr>
          <w:rFonts w:ascii="Arial" w:eastAsia="Arial" w:hAnsi="Arial" w:cs="Arial"/>
          <w:sz w:val="22"/>
          <w:szCs w:val="22"/>
        </w:rPr>
        <w:t xml:space="preserve"> 220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Antioquia).</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Guarne 220/110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Antioquia).</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Instalación de módulo FACTS para el enlace Brisas - Cajamarca - </w:t>
      </w:r>
      <w:proofErr w:type="spellStart"/>
      <w:r>
        <w:rPr>
          <w:rFonts w:ascii="Arial" w:eastAsia="Arial" w:hAnsi="Arial" w:cs="Arial"/>
          <w:sz w:val="22"/>
          <w:szCs w:val="22"/>
        </w:rPr>
        <w:t>Regivit</w:t>
      </w:r>
      <w:proofErr w:type="spellEnd"/>
      <w:r>
        <w:rPr>
          <w:rFonts w:ascii="Arial" w:eastAsia="Arial" w:hAnsi="Arial" w:cs="Arial"/>
          <w:sz w:val="22"/>
          <w:szCs w:val="22"/>
        </w:rPr>
        <w:t xml:space="preserve"> 115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Tolima).</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San Joaquín 115/34,5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Tolima).</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Amanecer 220/115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Tolima).</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La </w:t>
      </w:r>
      <w:proofErr w:type="spellStart"/>
      <w:r>
        <w:rPr>
          <w:rFonts w:ascii="Arial" w:eastAsia="Arial" w:hAnsi="Arial" w:cs="Arial"/>
          <w:sz w:val="22"/>
          <w:szCs w:val="22"/>
        </w:rPr>
        <w:t>Gaitana</w:t>
      </w:r>
      <w:proofErr w:type="spellEnd"/>
      <w:r>
        <w:rPr>
          <w:rFonts w:ascii="Arial" w:eastAsia="Arial" w:hAnsi="Arial" w:cs="Arial"/>
          <w:sz w:val="22"/>
          <w:szCs w:val="22"/>
        </w:rPr>
        <w:t xml:space="preserve"> 230/115 </w:t>
      </w:r>
      <w:proofErr w:type="spellStart"/>
      <w:r>
        <w:rPr>
          <w:rFonts w:ascii="Arial" w:eastAsia="Arial" w:hAnsi="Arial" w:cs="Arial"/>
          <w:sz w:val="22"/>
          <w:szCs w:val="22"/>
        </w:rPr>
        <w:t>kV</w:t>
      </w:r>
      <w:proofErr w:type="spellEnd"/>
      <w:r>
        <w:rPr>
          <w:rFonts w:ascii="Arial" w:eastAsia="Arial" w:hAnsi="Arial" w:cs="Arial"/>
          <w:sz w:val="22"/>
          <w:szCs w:val="22"/>
        </w:rPr>
        <w:t xml:space="preserve"> y obras asociadas </w:t>
      </w:r>
      <w:r>
        <w:rPr>
          <w:rFonts w:ascii="Arial" w:eastAsia="Arial" w:hAnsi="Arial" w:cs="Arial"/>
          <w:sz w:val="22"/>
          <w:szCs w:val="22"/>
        </w:rPr>
        <w:t>al STR (</w:t>
      </w:r>
      <w:proofErr w:type="spellStart"/>
      <w:r>
        <w:rPr>
          <w:rFonts w:ascii="Arial" w:eastAsia="Arial" w:hAnsi="Arial" w:cs="Arial"/>
          <w:sz w:val="22"/>
          <w:szCs w:val="22"/>
        </w:rPr>
        <w:t>Subárea</w:t>
      </w:r>
      <w:proofErr w:type="spellEnd"/>
      <w:r>
        <w:rPr>
          <w:rFonts w:ascii="Arial" w:eastAsia="Arial" w:hAnsi="Arial" w:cs="Arial"/>
          <w:sz w:val="22"/>
          <w:szCs w:val="22"/>
        </w:rPr>
        <w:t xml:space="preserve"> Huila).</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Segundo circuito Altamira - Florencia - </w:t>
      </w:r>
      <w:proofErr w:type="spellStart"/>
      <w:r>
        <w:rPr>
          <w:rFonts w:ascii="Arial" w:eastAsia="Arial" w:hAnsi="Arial" w:cs="Arial"/>
          <w:sz w:val="22"/>
          <w:szCs w:val="22"/>
        </w:rPr>
        <w:t>Doncello</w:t>
      </w:r>
      <w:proofErr w:type="spellEnd"/>
      <w:r>
        <w:rPr>
          <w:rFonts w:ascii="Arial" w:eastAsia="Arial" w:hAnsi="Arial" w:cs="Arial"/>
          <w:sz w:val="22"/>
          <w:szCs w:val="22"/>
        </w:rPr>
        <w:t xml:space="preserve"> 115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Caquetá).</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Santa Verónica 110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Atlántico).</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Nueva subestación </w:t>
      </w:r>
      <w:proofErr w:type="spellStart"/>
      <w:r>
        <w:rPr>
          <w:rFonts w:ascii="Arial" w:eastAsia="Arial" w:hAnsi="Arial" w:cs="Arial"/>
          <w:sz w:val="22"/>
          <w:szCs w:val="22"/>
        </w:rPr>
        <w:t>Cevillar</w:t>
      </w:r>
      <w:proofErr w:type="spellEnd"/>
      <w:r>
        <w:rPr>
          <w:rFonts w:ascii="Arial" w:eastAsia="Arial" w:hAnsi="Arial" w:cs="Arial"/>
          <w:sz w:val="22"/>
          <w:szCs w:val="22"/>
        </w:rPr>
        <w:t xml:space="preserve"> 110/13,8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Atlántico).</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Nueva subestación Los Cerezos 110/13,8</w:t>
      </w:r>
      <w:r>
        <w:rPr>
          <w:rFonts w:ascii="Arial" w:eastAsia="Arial" w:hAnsi="Arial" w:cs="Arial"/>
          <w:sz w:val="22"/>
          <w:szCs w:val="22"/>
        </w:rPr>
        <w:t xml:space="preserve">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Atlántico).</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Soledad 110/13,8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Atlántico).</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Subestación </w:t>
      </w:r>
      <w:proofErr w:type="spellStart"/>
      <w:r>
        <w:rPr>
          <w:rFonts w:ascii="Arial" w:eastAsia="Arial" w:hAnsi="Arial" w:cs="Arial"/>
          <w:sz w:val="22"/>
          <w:szCs w:val="22"/>
        </w:rPr>
        <w:t>Riomar</w:t>
      </w:r>
      <w:proofErr w:type="spellEnd"/>
      <w:r>
        <w:rPr>
          <w:rFonts w:ascii="Arial" w:eastAsia="Arial" w:hAnsi="Arial" w:cs="Arial"/>
          <w:sz w:val="22"/>
          <w:szCs w:val="22"/>
        </w:rPr>
        <w:t xml:space="preserve"> 110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Atlántico).</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Repotenciación de la línea </w:t>
      </w:r>
      <w:proofErr w:type="spellStart"/>
      <w:r>
        <w:rPr>
          <w:rFonts w:ascii="Arial" w:eastAsia="Arial" w:hAnsi="Arial" w:cs="Arial"/>
          <w:sz w:val="22"/>
          <w:szCs w:val="22"/>
        </w:rPr>
        <w:t>Termoflores</w:t>
      </w:r>
      <w:proofErr w:type="spellEnd"/>
      <w:r>
        <w:rPr>
          <w:rFonts w:ascii="Arial" w:eastAsia="Arial" w:hAnsi="Arial" w:cs="Arial"/>
          <w:sz w:val="22"/>
          <w:szCs w:val="22"/>
        </w:rPr>
        <w:t xml:space="preserve"> - Las Flores 110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Atlántico).</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Transformador SDL 34,5/13,8 subestación Sabanalarga (</w:t>
      </w:r>
      <w:proofErr w:type="spellStart"/>
      <w:r>
        <w:rPr>
          <w:rFonts w:ascii="Arial" w:eastAsia="Arial" w:hAnsi="Arial" w:cs="Arial"/>
          <w:sz w:val="22"/>
          <w:szCs w:val="22"/>
        </w:rPr>
        <w:t>Subárea</w:t>
      </w:r>
      <w:proofErr w:type="spellEnd"/>
      <w:r>
        <w:rPr>
          <w:rFonts w:ascii="Arial" w:eastAsia="Arial" w:hAnsi="Arial" w:cs="Arial"/>
          <w:sz w:val="22"/>
          <w:szCs w:val="22"/>
        </w:rPr>
        <w:t xml:space="preserve"> Atlántico).</w:t>
      </w:r>
    </w:p>
    <w:p w:rsidR="00CB693E" w:rsidRDefault="00CB693E">
      <w:pPr>
        <w:tabs>
          <w:tab w:val="left" w:pos="284"/>
          <w:tab w:val="center" w:pos="4419"/>
          <w:tab w:val="right" w:pos="8838"/>
        </w:tabs>
        <w:ind w:left="720"/>
        <w:jc w:val="both"/>
        <w:rPr>
          <w:rFonts w:ascii="Arial" w:eastAsia="Arial" w:hAnsi="Arial" w:cs="Arial"/>
          <w:sz w:val="22"/>
          <w:szCs w:val="22"/>
        </w:rPr>
      </w:pPr>
    </w:p>
    <w:p w:rsidR="00CB693E" w:rsidRDefault="00E21F8A">
      <w:pPr>
        <w:numPr>
          <w:ilvl w:val="0"/>
          <w:numId w:val="1"/>
        </w:numP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Segundo circuito Santa María - </w:t>
      </w:r>
      <w:proofErr w:type="spellStart"/>
      <w:r>
        <w:rPr>
          <w:rFonts w:ascii="Arial" w:eastAsia="Arial" w:hAnsi="Arial" w:cs="Arial"/>
          <w:sz w:val="22"/>
          <w:szCs w:val="22"/>
        </w:rPr>
        <w:t>Tunjita</w:t>
      </w:r>
      <w:proofErr w:type="spellEnd"/>
      <w:r>
        <w:rPr>
          <w:rFonts w:ascii="Arial" w:eastAsia="Arial" w:hAnsi="Arial" w:cs="Arial"/>
          <w:sz w:val="22"/>
          <w:szCs w:val="22"/>
        </w:rPr>
        <w:t xml:space="preserve"> - Guateque - </w:t>
      </w:r>
      <w:proofErr w:type="spellStart"/>
      <w:r>
        <w:rPr>
          <w:rFonts w:ascii="Arial" w:eastAsia="Arial" w:hAnsi="Arial" w:cs="Arial"/>
          <w:sz w:val="22"/>
          <w:szCs w:val="22"/>
        </w:rPr>
        <w:t>Sesquilé</w:t>
      </w:r>
      <w:proofErr w:type="spellEnd"/>
      <w:r>
        <w:rPr>
          <w:rFonts w:ascii="Arial" w:eastAsia="Arial" w:hAnsi="Arial" w:cs="Arial"/>
          <w:sz w:val="22"/>
          <w:szCs w:val="22"/>
        </w:rPr>
        <w:t xml:space="preserve"> 115 </w:t>
      </w:r>
      <w:proofErr w:type="spellStart"/>
      <w:r>
        <w:rPr>
          <w:rFonts w:ascii="Arial" w:eastAsia="Arial" w:hAnsi="Arial" w:cs="Arial"/>
          <w:sz w:val="22"/>
          <w:szCs w:val="22"/>
        </w:rPr>
        <w:t>kV</w:t>
      </w:r>
      <w:proofErr w:type="spellEnd"/>
      <w:r>
        <w:rPr>
          <w:rFonts w:ascii="Arial" w:eastAsia="Arial" w:hAnsi="Arial" w:cs="Arial"/>
          <w:sz w:val="22"/>
          <w:szCs w:val="22"/>
        </w:rPr>
        <w:t xml:space="preserve"> (</w:t>
      </w:r>
      <w:proofErr w:type="spellStart"/>
      <w:r>
        <w:rPr>
          <w:rFonts w:ascii="Arial" w:eastAsia="Arial" w:hAnsi="Arial" w:cs="Arial"/>
          <w:sz w:val="22"/>
          <w:szCs w:val="22"/>
        </w:rPr>
        <w:t>Subárea</w:t>
      </w:r>
      <w:proofErr w:type="spellEnd"/>
      <w:r>
        <w:rPr>
          <w:rFonts w:ascii="Arial" w:eastAsia="Arial" w:hAnsi="Arial" w:cs="Arial"/>
          <w:sz w:val="22"/>
          <w:szCs w:val="22"/>
        </w:rPr>
        <w:t xml:space="preserve"> Boyacá).</w:t>
      </w:r>
    </w:p>
    <w:p w:rsidR="00CB693E" w:rsidRDefault="00CB693E">
      <w:pPr>
        <w:pBdr>
          <w:top w:val="nil"/>
          <w:left w:val="nil"/>
          <w:bottom w:val="nil"/>
          <w:right w:val="nil"/>
          <w:between w:val="nil"/>
        </w:pBdr>
        <w:ind w:left="720"/>
        <w:rPr>
          <w:rFonts w:ascii="Arial" w:eastAsia="Arial" w:hAnsi="Arial" w:cs="Arial"/>
          <w:color w:val="000000"/>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Por parte de EPM se resalta que hacen falta obras por listar, sin embargo, la UPME aclara que e</w:t>
      </w:r>
      <w:r>
        <w:rPr>
          <w:rFonts w:ascii="Arial" w:eastAsia="Arial" w:hAnsi="Arial" w:cs="Arial"/>
          <w:sz w:val="22"/>
          <w:szCs w:val="22"/>
        </w:rPr>
        <w:t>stas son obras propuestas por los OR en sus planes de expansión y que las demás obras con solicitudes de Unidades Constructivas y con estudios de conexión enviados para análisis no se encuentran en la presentación.</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r>
        <w:rPr>
          <w:rFonts w:ascii="Arial" w:eastAsia="Arial" w:hAnsi="Arial" w:cs="Arial"/>
          <w:sz w:val="22"/>
          <w:szCs w:val="22"/>
        </w:rPr>
        <w:t xml:space="preserve">Finalmente, EPM aclara que para la </w:t>
      </w:r>
      <w:proofErr w:type="spellStart"/>
      <w:r>
        <w:rPr>
          <w:rFonts w:ascii="Arial" w:eastAsia="Arial" w:hAnsi="Arial" w:cs="Arial"/>
          <w:sz w:val="22"/>
          <w:szCs w:val="22"/>
        </w:rPr>
        <w:t>subár</w:t>
      </w:r>
      <w:r>
        <w:rPr>
          <w:rFonts w:ascii="Arial" w:eastAsia="Arial" w:hAnsi="Arial" w:cs="Arial"/>
          <w:sz w:val="22"/>
          <w:szCs w:val="22"/>
        </w:rPr>
        <w:t>ea</w:t>
      </w:r>
      <w:proofErr w:type="spellEnd"/>
      <w:r>
        <w:rPr>
          <w:rFonts w:ascii="Arial" w:eastAsia="Arial" w:hAnsi="Arial" w:cs="Arial"/>
          <w:sz w:val="22"/>
          <w:szCs w:val="22"/>
        </w:rPr>
        <w:t xml:space="preserve"> Antioquia, el proyecto Interconexión subregiones Nordeste - Urabá a 220 </w:t>
      </w:r>
      <w:proofErr w:type="spellStart"/>
      <w:r>
        <w:rPr>
          <w:rFonts w:ascii="Arial" w:eastAsia="Arial" w:hAnsi="Arial" w:cs="Arial"/>
          <w:sz w:val="22"/>
          <w:szCs w:val="22"/>
        </w:rPr>
        <w:t>kV</w:t>
      </w:r>
      <w:proofErr w:type="spellEnd"/>
      <w:r>
        <w:rPr>
          <w:rFonts w:ascii="Arial" w:eastAsia="Arial" w:hAnsi="Arial" w:cs="Arial"/>
          <w:sz w:val="22"/>
          <w:szCs w:val="22"/>
        </w:rPr>
        <w:t xml:space="preserve"> y las nuevas subestaciones Lagunas y </w:t>
      </w:r>
      <w:proofErr w:type="spellStart"/>
      <w:r>
        <w:rPr>
          <w:rFonts w:ascii="Arial" w:eastAsia="Arial" w:hAnsi="Arial" w:cs="Arial"/>
          <w:sz w:val="22"/>
          <w:szCs w:val="22"/>
        </w:rPr>
        <w:t>Guárcama</w:t>
      </w:r>
      <w:proofErr w:type="spellEnd"/>
      <w:r>
        <w:rPr>
          <w:rFonts w:ascii="Arial" w:eastAsia="Arial" w:hAnsi="Arial" w:cs="Arial"/>
          <w:sz w:val="22"/>
          <w:szCs w:val="22"/>
        </w:rPr>
        <w:t xml:space="preserve"> 220 </w:t>
      </w:r>
      <w:proofErr w:type="spellStart"/>
      <w:r>
        <w:rPr>
          <w:rFonts w:ascii="Arial" w:eastAsia="Arial" w:hAnsi="Arial" w:cs="Arial"/>
          <w:sz w:val="22"/>
          <w:szCs w:val="22"/>
        </w:rPr>
        <w:t>kV</w:t>
      </w:r>
      <w:proofErr w:type="spellEnd"/>
      <w:r>
        <w:rPr>
          <w:rFonts w:ascii="Arial" w:eastAsia="Arial" w:hAnsi="Arial" w:cs="Arial"/>
          <w:sz w:val="22"/>
          <w:szCs w:val="22"/>
        </w:rPr>
        <w:t xml:space="preserve"> son el mismo proyecto. Por parte de ENEL, se aclara que la obra propuesta en la </w:t>
      </w:r>
      <w:proofErr w:type="spellStart"/>
      <w:r>
        <w:rPr>
          <w:rFonts w:ascii="Arial" w:eastAsia="Arial" w:hAnsi="Arial" w:cs="Arial"/>
          <w:sz w:val="22"/>
          <w:szCs w:val="22"/>
        </w:rPr>
        <w:t>subárea</w:t>
      </w:r>
      <w:proofErr w:type="spellEnd"/>
      <w:r>
        <w:rPr>
          <w:rFonts w:ascii="Arial" w:eastAsia="Arial" w:hAnsi="Arial" w:cs="Arial"/>
          <w:sz w:val="22"/>
          <w:szCs w:val="22"/>
        </w:rPr>
        <w:t xml:space="preserve"> Boyacá, Segundo circuito Santa María </w:t>
      </w:r>
      <w:r>
        <w:rPr>
          <w:rFonts w:ascii="Arial" w:eastAsia="Arial" w:hAnsi="Arial" w:cs="Arial"/>
          <w:sz w:val="22"/>
          <w:szCs w:val="22"/>
        </w:rPr>
        <w:t xml:space="preserve">- </w:t>
      </w:r>
      <w:proofErr w:type="spellStart"/>
      <w:r>
        <w:rPr>
          <w:rFonts w:ascii="Arial" w:eastAsia="Arial" w:hAnsi="Arial" w:cs="Arial"/>
          <w:sz w:val="22"/>
          <w:szCs w:val="22"/>
        </w:rPr>
        <w:t>Tunjita</w:t>
      </w:r>
      <w:proofErr w:type="spellEnd"/>
      <w:r>
        <w:rPr>
          <w:rFonts w:ascii="Arial" w:eastAsia="Arial" w:hAnsi="Arial" w:cs="Arial"/>
          <w:sz w:val="22"/>
          <w:szCs w:val="22"/>
        </w:rPr>
        <w:t xml:space="preserve"> - Guateque - </w:t>
      </w:r>
      <w:proofErr w:type="spellStart"/>
      <w:r>
        <w:rPr>
          <w:rFonts w:ascii="Arial" w:eastAsia="Arial" w:hAnsi="Arial" w:cs="Arial"/>
          <w:sz w:val="22"/>
          <w:szCs w:val="22"/>
        </w:rPr>
        <w:t>Sesquilé</w:t>
      </w:r>
      <w:proofErr w:type="spellEnd"/>
      <w:r>
        <w:rPr>
          <w:rFonts w:ascii="Arial" w:eastAsia="Arial" w:hAnsi="Arial" w:cs="Arial"/>
          <w:sz w:val="22"/>
          <w:szCs w:val="22"/>
        </w:rPr>
        <w:t xml:space="preserve"> 115 </w:t>
      </w:r>
      <w:proofErr w:type="spellStart"/>
      <w:r>
        <w:rPr>
          <w:rFonts w:ascii="Arial" w:eastAsia="Arial" w:hAnsi="Arial" w:cs="Arial"/>
          <w:sz w:val="22"/>
          <w:szCs w:val="22"/>
        </w:rPr>
        <w:t>kV</w:t>
      </w:r>
      <w:proofErr w:type="spellEnd"/>
      <w:r>
        <w:rPr>
          <w:rFonts w:ascii="Arial" w:eastAsia="Arial" w:hAnsi="Arial" w:cs="Arial"/>
          <w:sz w:val="22"/>
          <w:szCs w:val="22"/>
        </w:rPr>
        <w:t xml:space="preserve"> requiere de una reunión con el OR de la </w:t>
      </w:r>
      <w:proofErr w:type="spellStart"/>
      <w:r>
        <w:rPr>
          <w:rFonts w:ascii="Arial" w:eastAsia="Arial" w:hAnsi="Arial" w:cs="Arial"/>
          <w:sz w:val="22"/>
          <w:szCs w:val="22"/>
        </w:rPr>
        <w:t>subárea</w:t>
      </w:r>
      <w:proofErr w:type="spellEnd"/>
      <w:r>
        <w:rPr>
          <w:rFonts w:ascii="Arial" w:eastAsia="Arial" w:hAnsi="Arial" w:cs="Arial"/>
          <w:sz w:val="22"/>
          <w:szCs w:val="22"/>
        </w:rPr>
        <w:t xml:space="preserve"> Oriental para revisión del tema de disponibilidad de espacio en la subestación </w:t>
      </w:r>
      <w:proofErr w:type="spellStart"/>
      <w:r>
        <w:rPr>
          <w:rFonts w:ascii="Arial" w:eastAsia="Arial" w:hAnsi="Arial" w:cs="Arial"/>
          <w:sz w:val="22"/>
          <w:szCs w:val="22"/>
        </w:rPr>
        <w:t>Sesquilé</w:t>
      </w:r>
      <w:proofErr w:type="spellEnd"/>
      <w:r>
        <w:rPr>
          <w:rFonts w:ascii="Arial" w:eastAsia="Arial" w:hAnsi="Arial" w:cs="Arial"/>
          <w:sz w:val="22"/>
          <w:szCs w:val="22"/>
        </w:rPr>
        <w:t xml:space="preserve"> 115 </w:t>
      </w:r>
      <w:proofErr w:type="spellStart"/>
      <w:r>
        <w:rPr>
          <w:rFonts w:ascii="Arial" w:eastAsia="Arial" w:hAnsi="Arial" w:cs="Arial"/>
          <w:sz w:val="22"/>
          <w:szCs w:val="22"/>
        </w:rPr>
        <w:t>kV</w:t>
      </w:r>
      <w:proofErr w:type="spellEnd"/>
      <w:r>
        <w:rPr>
          <w:rFonts w:ascii="Arial" w:eastAsia="Arial" w:hAnsi="Arial" w:cs="Arial"/>
          <w:sz w:val="22"/>
          <w:szCs w:val="22"/>
        </w:rPr>
        <w:t xml:space="preserve"> puesto que se tienen restricciones, también resalta ENEL que hacen falta u</w:t>
      </w:r>
      <w:r>
        <w:rPr>
          <w:rFonts w:ascii="Arial" w:eastAsia="Arial" w:hAnsi="Arial" w:cs="Arial"/>
          <w:sz w:val="22"/>
          <w:szCs w:val="22"/>
        </w:rPr>
        <w:t>n “paquete” de 5 subestaciones propuestas en su plan de expansión que no están contempladas en la presentación, lo cual requiere revisión posterior por parte de la Unidad.</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p>
    <w:p w:rsidR="00CB693E" w:rsidRDefault="00E21F8A">
      <w:pPr>
        <w:numPr>
          <w:ilvl w:val="0"/>
          <w:numId w:val="11"/>
        </w:numPr>
        <w:pBdr>
          <w:top w:val="nil"/>
          <w:left w:val="nil"/>
          <w:bottom w:val="nil"/>
          <w:right w:val="nil"/>
          <w:between w:val="nil"/>
        </w:pBdr>
        <w:tabs>
          <w:tab w:val="left" w:pos="284"/>
          <w:tab w:val="center" w:pos="4419"/>
          <w:tab w:val="right" w:pos="8838"/>
        </w:tabs>
        <w:jc w:val="both"/>
        <w:rPr>
          <w:rFonts w:ascii="Arial" w:eastAsia="Arial" w:hAnsi="Arial" w:cs="Arial"/>
          <w:color w:val="000000"/>
          <w:sz w:val="22"/>
          <w:szCs w:val="22"/>
        </w:rPr>
      </w:pPr>
      <w:r>
        <w:rPr>
          <w:rFonts w:ascii="Arial" w:eastAsia="Arial" w:hAnsi="Arial" w:cs="Arial"/>
          <w:color w:val="000000"/>
          <w:sz w:val="22"/>
          <w:szCs w:val="22"/>
        </w:rPr>
        <w:t xml:space="preserve">Varios </w:t>
      </w:r>
    </w:p>
    <w:p w:rsidR="00CB693E" w:rsidRDefault="00CB693E">
      <w:pPr>
        <w:pBdr>
          <w:top w:val="nil"/>
          <w:left w:val="nil"/>
          <w:bottom w:val="nil"/>
          <w:right w:val="nil"/>
          <w:between w:val="nil"/>
        </w:pBdr>
        <w:tabs>
          <w:tab w:val="left" w:pos="284"/>
          <w:tab w:val="center" w:pos="4419"/>
          <w:tab w:val="right" w:pos="8838"/>
        </w:tabs>
        <w:ind w:left="502"/>
        <w:jc w:val="both"/>
        <w:rPr>
          <w:rFonts w:ascii="Arial" w:eastAsia="Arial" w:hAnsi="Arial" w:cs="Arial"/>
          <w:color w:val="000000"/>
          <w:sz w:val="22"/>
          <w:szCs w:val="22"/>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b/>
          <w:sz w:val="22"/>
          <w:szCs w:val="22"/>
        </w:rPr>
      </w:pPr>
      <w:r>
        <w:rPr>
          <w:rFonts w:ascii="Arial" w:eastAsia="Arial" w:hAnsi="Arial" w:cs="Arial"/>
          <w:b/>
          <w:sz w:val="22"/>
          <w:szCs w:val="22"/>
        </w:rPr>
        <w:t xml:space="preserve">6.1. </w:t>
      </w:r>
      <w:r>
        <w:rPr>
          <w:rFonts w:ascii="Arial" w:eastAsia="Arial" w:hAnsi="Arial" w:cs="Arial"/>
          <w:b/>
          <w:color w:val="000000"/>
          <w:sz w:val="22"/>
          <w:szCs w:val="22"/>
        </w:rPr>
        <w:t>Reactivación comité ambiental</w:t>
      </w:r>
      <w:r>
        <w:rPr>
          <w:rFonts w:ascii="Arial" w:eastAsia="Arial" w:hAnsi="Arial" w:cs="Arial"/>
          <w:b/>
          <w:sz w:val="22"/>
          <w:szCs w:val="22"/>
        </w:rPr>
        <w:t>:</w:t>
      </w: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rPr>
      </w:pPr>
      <w:bookmarkStart w:id="4" w:name="_heading=h.tyjcwt" w:colFirst="0" w:colLast="0"/>
      <w:bookmarkEnd w:id="4"/>
      <w:r>
        <w:rPr>
          <w:rFonts w:ascii="Arial" w:eastAsia="Arial" w:hAnsi="Arial" w:cs="Arial"/>
          <w:sz w:val="22"/>
          <w:szCs w:val="22"/>
        </w:rPr>
        <w:t>Se acordó que se va a realizar paralelo al comité técnico regulatorio, una semana antes del CAPT, toda vez que los participantes de cada comité son diferentes profesionales.</w:t>
      </w:r>
      <w:r>
        <w:rPr>
          <w:rFonts w:ascii="Arial" w:eastAsia="Arial" w:hAnsi="Arial" w:cs="Arial"/>
          <w:color w:val="FF0000"/>
          <w:sz w:val="22"/>
          <w:szCs w:val="22"/>
        </w:rPr>
        <w:t xml:space="preserve"> </w:t>
      </w:r>
      <w:r>
        <w:rPr>
          <w:rFonts w:ascii="Arial" w:eastAsia="Arial" w:hAnsi="Arial" w:cs="Arial"/>
          <w:sz w:val="22"/>
          <w:szCs w:val="22"/>
        </w:rPr>
        <w:t xml:space="preserve">Adicionalmente se propone que se alterne la </w:t>
      </w:r>
      <w:proofErr w:type="spellStart"/>
      <w:r>
        <w:rPr>
          <w:rFonts w:ascii="Arial" w:eastAsia="Arial" w:hAnsi="Arial" w:cs="Arial"/>
          <w:sz w:val="22"/>
          <w:szCs w:val="22"/>
        </w:rPr>
        <w:t>presencialidad</w:t>
      </w:r>
      <w:proofErr w:type="spellEnd"/>
      <w:r>
        <w:rPr>
          <w:rFonts w:ascii="Arial" w:eastAsia="Arial" w:hAnsi="Arial" w:cs="Arial"/>
          <w:sz w:val="22"/>
          <w:szCs w:val="22"/>
        </w:rPr>
        <w:t>, es decir, un mes es pr</w:t>
      </w:r>
      <w:r>
        <w:rPr>
          <w:rFonts w:ascii="Arial" w:eastAsia="Arial" w:hAnsi="Arial" w:cs="Arial"/>
          <w:sz w:val="22"/>
          <w:szCs w:val="22"/>
        </w:rPr>
        <w:t>esencial el Comité técnico y el ambiental es virtual, al siguiente mes se invierten.</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yellow"/>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b/>
          <w:sz w:val="22"/>
          <w:szCs w:val="22"/>
          <w:highlight w:val="white"/>
        </w:rPr>
      </w:pPr>
      <w:r>
        <w:rPr>
          <w:rFonts w:ascii="Arial" w:eastAsia="Arial" w:hAnsi="Arial" w:cs="Arial"/>
          <w:b/>
          <w:sz w:val="22"/>
          <w:szCs w:val="22"/>
          <w:highlight w:val="white"/>
        </w:rPr>
        <w:t xml:space="preserve">6.2. TAREAS UPME - Intervención Ing. Javier Martínez Gil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color w:val="FF0000"/>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 xml:space="preserve">Anexo - Cronograma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 xml:space="preserve">Este cronograma es para que conozcan un poco más lo que implica el proceso de conexiones y el entorno del plan de expansión. Antes de que existiera la CREG 075 no se realizaban una serie de pasos que actualmente si se están teniendo en la Unidad gracias a </w:t>
      </w:r>
      <w:r>
        <w:rPr>
          <w:rFonts w:ascii="Arial" w:eastAsia="Arial" w:hAnsi="Arial" w:cs="Arial"/>
          <w:sz w:val="22"/>
          <w:szCs w:val="22"/>
          <w:highlight w:val="white"/>
        </w:rPr>
        <w:t>la resolución.</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Se tienen en resumen 3 procesos importantes:</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numPr>
          <w:ilvl w:val="0"/>
          <w:numId w:val="2"/>
        </w:num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bookmarkStart w:id="5" w:name="_heading=h.3dy6vkm" w:colFirst="0" w:colLast="0"/>
      <w:bookmarkEnd w:id="5"/>
      <w:r>
        <w:rPr>
          <w:rFonts w:ascii="Arial" w:eastAsia="Arial" w:hAnsi="Arial" w:cs="Arial"/>
          <w:sz w:val="22"/>
          <w:szCs w:val="22"/>
          <w:highlight w:val="white"/>
        </w:rPr>
        <w:t>Planeación, definición y aprobación de la expansión</w:t>
      </w:r>
    </w:p>
    <w:p w:rsidR="00CB693E" w:rsidRDefault="00E21F8A">
      <w:pPr>
        <w:numPr>
          <w:ilvl w:val="0"/>
          <w:numId w:val="2"/>
        </w:num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Proceso asignación de capacidad (conexiones)</w:t>
      </w:r>
    </w:p>
    <w:p w:rsidR="00CB693E" w:rsidRDefault="00E21F8A">
      <w:pPr>
        <w:numPr>
          <w:ilvl w:val="0"/>
          <w:numId w:val="2"/>
        </w:num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Proceso administrativo posterior a la asignación, necesariamente este proceso existe ya que los s</w:t>
      </w:r>
      <w:r>
        <w:rPr>
          <w:rFonts w:ascii="Arial" w:eastAsia="Arial" w:hAnsi="Arial" w:cs="Arial"/>
          <w:sz w:val="22"/>
          <w:szCs w:val="22"/>
          <w:highlight w:val="white"/>
        </w:rPr>
        <w:t>olicitantes pueden comenzar un proceso de recursos de reposición por diferentes motivos, sean conceptos aprobados y no aprobados y después siguen con un proceso de liberaciones.</w:t>
      </w:r>
    </w:p>
    <w:p w:rsidR="00CB693E" w:rsidRDefault="00CB693E">
      <w:pPr>
        <w:pBdr>
          <w:top w:val="nil"/>
          <w:left w:val="nil"/>
          <w:bottom w:val="nil"/>
          <w:right w:val="nil"/>
          <w:between w:val="nil"/>
        </w:pBdr>
        <w:tabs>
          <w:tab w:val="left" w:pos="284"/>
          <w:tab w:val="center" w:pos="4419"/>
          <w:tab w:val="right" w:pos="8838"/>
        </w:tabs>
        <w:ind w:left="720"/>
        <w:jc w:val="both"/>
        <w:rPr>
          <w:rFonts w:ascii="Arial" w:eastAsia="Arial" w:hAnsi="Arial" w:cs="Arial"/>
          <w:sz w:val="22"/>
          <w:szCs w:val="22"/>
          <w:highlight w:val="white"/>
        </w:rPr>
      </w:pPr>
    </w:p>
    <w:p w:rsidR="00CB693E" w:rsidRDefault="00E21F8A">
      <w:pPr>
        <w:numPr>
          <w:ilvl w:val="0"/>
          <w:numId w:val="10"/>
        </w:num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u w:val="single"/>
        </w:rPr>
        <w:t>Planeación, definición y aprobación de la expansión</w:t>
      </w: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Hablando en detalle del proceso de planeación, definición y aprobación de expansiones, tenemos para el nivel de tensión 4 hay una serie de actividades tales como: Identificación de solicitudes, obras y propuestas, análisis eléctrico, primer segundo y terce</w:t>
      </w:r>
      <w:r>
        <w:rPr>
          <w:rFonts w:ascii="Arial" w:eastAsia="Arial" w:hAnsi="Arial" w:cs="Arial"/>
          <w:sz w:val="22"/>
          <w:szCs w:val="22"/>
          <w:highlight w:val="white"/>
        </w:rPr>
        <w:t xml:space="preserve">r reporte de evaluación (hitos internos revisión de la unidad).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bookmarkStart w:id="6" w:name="_heading=h.1t3h5sf" w:colFirst="0" w:colLast="0"/>
      <w:bookmarkEnd w:id="6"/>
      <w:r>
        <w:rPr>
          <w:rFonts w:ascii="Arial" w:eastAsia="Arial" w:hAnsi="Arial" w:cs="Arial"/>
          <w:sz w:val="22"/>
          <w:szCs w:val="22"/>
          <w:highlight w:val="white"/>
        </w:rPr>
        <w:t>En orden cronológico podrán salir primero las que no requieren obras de expansión del STN; en el cronograma el máximo plazo para aprobación de obras del STR se tienen para finales de noviemb</w:t>
      </w:r>
      <w:r>
        <w:rPr>
          <w:rFonts w:ascii="Arial" w:eastAsia="Arial" w:hAnsi="Arial" w:cs="Arial"/>
          <w:sz w:val="22"/>
          <w:szCs w:val="22"/>
          <w:highlight w:val="white"/>
        </w:rPr>
        <w:t>re. Esto no quiere decir que no se vayan a analizar las demás, esas obras que implican obras del STN, se empezaran a analizar desde ya, pero no se resolverán en noviembre ya que requieren ser expuestas a la ciudadanía, en comentarios del CAPT y posteriorme</w:t>
      </w:r>
      <w:r>
        <w:rPr>
          <w:rFonts w:ascii="Arial" w:eastAsia="Arial" w:hAnsi="Arial" w:cs="Arial"/>
          <w:sz w:val="22"/>
          <w:szCs w:val="22"/>
          <w:highlight w:val="white"/>
        </w:rPr>
        <w:t>nte requiere ser remitidas al Ministerio para adopción mediante resolución.</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El análisis y formulación del plan de transmisión es una actividad permanente que está en proceso desde mediados de julio para finalizar la tercera semana de febrero de 2024, mome</w:t>
      </w:r>
      <w:r>
        <w:rPr>
          <w:rFonts w:ascii="Arial" w:eastAsia="Arial" w:hAnsi="Arial" w:cs="Arial"/>
          <w:sz w:val="22"/>
          <w:szCs w:val="22"/>
          <w:highlight w:val="white"/>
        </w:rPr>
        <w:t xml:space="preserve">nto en el cual se dará la señal de comunicación y traslado al ministerio. Asimismo, se tendrá como actividad permanente las discusiones del CAPT que va a ser paralela a la del </w:t>
      </w:r>
      <w:r>
        <w:rPr>
          <w:rFonts w:ascii="Arial" w:eastAsia="Arial" w:hAnsi="Arial" w:cs="Arial"/>
          <w:sz w:val="22"/>
          <w:szCs w:val="22"/>
          <w:highlight w:val="white"/>
        </w:rPr>
        <w:lastRenderedPageBreak/>
        <w:t>análisis y formulación del plan de transmisión, con fecha de finalización un mes</w:t>
      </w:r>
      <w:r>
        <w:rPr>
          <w:rFonts w:ascii="Arial" w:eastAsia="Arial" w:hAnsi="Arial" w:cs="Arial"/>
          <w:sz w:val="22"/>
          <w:szCs w:val="22"/>
          <w:highlight w:val="white"/>
        </w:rPr>
        <w:t xml:space="preserve"> antes, es decir la tercera semana de enero de 2024. Desde la última semana de noviembre de 2023 se tendrán unos hitos de precisión como lo son: publicación del plan de transmisión a comentarios, periodo de comentarios, adecuaciones plan de transmisión, ve</w:t>
      </w:r>
      <w:r>
        <w:rPr>
          <w:rFonts w:ascii="Arial" w:eastAsia="Arial" w:hAnsi="Arial" w:cs="Arial"/>
          <w:sz w:val="22"/>
          <w:szCs w:val="22"/>
          <w:highlight w:val="white"/>
        </w:rPr>
        <w:t>rsión final plan de transmisión, concepto CAPT, remisión del plan de transmisión al Ministerio, publicación resolución plan de transmisión y comentarios; para que finalmente se concluya con la adopción del Plan de Transmisión la última semana de febrero.</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Desde hace un tiempo el Ministerio saca a comentarios la resolución, no el plan de expansión; el llamado de atención es revisar muy a fondo estos comentarios desde el origen, ya que la UPME ha recibido varios comentarios importantes de fondo, que se recibe</w:t>
      </w:r>
      <w:r>
        <w:rPr>
          <w:rFonts w:ascii="Arial" w:eastAsia="Arial" w:hAnsi="Arial" w:cs="Arial"/>
          <w:sz w:val="22"/>
          <w:szCs w:val="22"/>
          <w:highlight w:val="white"/>
        </w:rPr>
        <w:t>n en esa etapa, y estos deberían llegar es cuando se está en la etapa del diseño; es decir, cuando se está analizando la solución. La unidad insiste en que en el comité del CAPT los operadores de red en algún momento vinculen las áreas de desarrollo de los</w:t>
      </w:r>
      <w:r>
        <w:rPr>
          <w:rFonts w:ascii="Arial" w:eastAsia="Arial" w:hAnsi="Arial" w:cs="Arial"/>
          <w:sz w:val="22"/>
          <w:szCs w:val="22"/>
          <w:highlight w:val="white"/>
        </w:rPr>
        <w:t xml:space="preserve"> proyectos para que puedan hacer aportes casi que desde la concepción de los proyectos.</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i/>
          <w:sz w:val="22"/>
          <w:szCs w:val="22"/>
          <w:highlight w:val="white"/>
          <w:u w:val="single"/>
        </w:rPr>
        <w:t>¿El plan de expansión que contemplara</w:t>
      </w:r>
      <w:r>
        <w:rPr>
          <w:rFonts w:ascii="Arial" w:eastAsia="Arial" w:hAnsi="Arial" w:cs="Arial"/>
          <w:i/>
          <w:sz w:val="22"/>
          <w:szCs w:val="22"/>
          <w:highlight w:val="white"/>
        </w:rPr>
        <w:t>?</w:t>
      </w:r>
      <w:r>
        <w:rPr>
          <w:rFonts w:ascii="Arial" w:eastAsia="Arial" w:hAnsi="Arial" w:cs="Arial"/>
          <w:sz w:val="22"/>
          <w:szCs w:val="22"/>
          <w:highlight w:val="white"/>
        </w:rPr>
        <w:t xml:space="preserve"> R/ Se empezó por temas del STR que se deben resolver a noviembre de este año; para contextualizar, la UPME recibe solicitudes de</w:t>
      </w:r>
      <w:r>
        <w:rPr>
          <w:rFonts w:ascii="Arial" w:eastAsia="Arial" w:hAnsi="Arial" w:cs="Arial"/>
          <w:sz w:val="22"/>
          <w:szCs w:val="22"/>
          <w:highlight w:val="white"/>
        </w:rPr>
        <w:t xml:space="preserve"> reconocimiento de activos de nivel de tensión 4, que básicamente son obras de expansión de los STR, esos llegan en cualquier momento del año, la idea es limpiar el escritorio de eso. El plan de expansión contemplara las obras de expansión del STN originad</w:t>
      </w:r>
      <w:r>
        <w:rPr>
          <w:rFonts w:ascii="Arial" w:eastAsia="Arial" w:hAnsi="Arial" w:cs="Arial"/>
          <w:sz w:val="22"/>
          <w:szCs w:val="22"/>
          <w:highlight w:val="white"/>
        </w:rPr>
        <w:t>a de las necesidades de los STR y obras de expansión del STN originadas de cualquier otra necesidad, no es necesariamente exclusiva para STR.</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bookmarkStart w:id="7" w:name="_heading=h.4d34og8" w:colFirst="0" w:colLast="0"/>
      <w:bookmarkEnd w:id="7"/>
      <w:r>
        <w:rPr>
          <w:rFonts w:ascii="Arial" w:eastAsia="Arial" w:hAnsi="Arial" w:cs="Arial"/>
          <w:sz w:val="22"/>
          <w:szCs w:val="22"/>
          <w:highlight w:val="white"/>
        </w:rPr>
        <w:t>Así pues, resumiendo lo anteriormente dicho, en noviembre se tendrán aprobaciones de obras del STR y avanzadas la</w:t>
      </w:r>
      <w:r>
        <w:rPr>
          <w:rFonts w:ascii="Arial" w:eastAsia="Arial" w:hAnsi="Arial" w:cs="Arial"/>
          <w:sz w:val="22"/>
          <w:szCs w:val="22"/>
          <w:highlight w:val="white"/>
        </w:rPr>
        <w:t>s evaluaciones de obra del STN que se requieren, pero el proceso de aprobación para obras del STN continúa hasta febrero porque tiene un proceso administrativo que se debe cumplir.</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i/>
          <w:sz w:val="22"/>
          <w:szCs w:val="22"/>
          <w:highlight w:val="white"/>
          <w:u w:val="single"/>
        </w:rPr>
        <w:t>¿Las obras del STR que van asociadas a obras de STN, no van en los tiempos</w:t>
      </w:r>
      <w:r>
        <w:rPr>
          <w:rFonts w:ascii="Arial" w:eastAsia="Arial" w:hAnsi="Arial" w:cs="Arial"/>
          <w:i/>
          <w:sz w:val="22"/>
          <w:szCs w:val="22"/>
          <w:highlight w:val="white"/>
          <w:u w:val="single"/>
        </w:rPr>
        <w:t xml:space="preserve"> de las obras que se aprueban en noviembre?</w:t>
      </w:r>
      <w:r>
        <w:rPr>
          <w:rFonts w:ascii="Arial" w:eastAsia="Arial" w:hAnsi="Arial" w:cs="Arial"/>
          <w:sz w:val="22"/>
          <w:szCs w:val="22"/>
          <w:highlight w:val="white"/>
        </w:rPr>
        <w:t xml:space="preserve"> R/ Ese tipo de obras al necesitar obras del STN deben entrar en el ciclo que va hasta febrero.</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i/>
          <w:sz w:val="22"/>
          <w:szCs w:val="22"/>
          <w:highlight w:val="white"/>
          <w:u w:val="single"/>
        </w:rPr>
        <w:t>¿Un proyecto declarado “URGENTE” da unos alivios en tiempo?</w:t>
      </w:r>
      <w:r>
        <w:rPr>
          <w:rFonts w:ascii="Arial" w:eastAsia="Arial" w:hAnsi="Arial" w:cs="Arial"/>
          <w:i/>
          <w:sz w:val="22"/>
          <w:szCs w:val="22"/>
          <w:highlight w:val="white"/>
        </w:rPr>
        <w:t xml:space="preserve"> </w:t>
      </w:r>
      <w:r>
        <w:rPr>
          <w:rFonts w:ascii="Arial" w:eastAsia="Arial" w:hAnsi="Arial" w:cs="Arial"/>
          <w:sz w:val="22"/>
          <w:szCs w:val="22"/>
          <w:highlight w:val="white"/>
        </w:rPr>
        <w:t>R/ Una obra declarada como urgente, tiene que cumplir un</w:t>
      </w:r>
      <w:r>
        <w:rPr>
          <w:rFonts w:ascii="Arial" w:eastAsia="Arial" w:hAnsi="Arial" w:cs="Arial"/>
          <w:sz w:val="22"/>
          <w:szCs w:val="22"/>
          <w:highlight w:val="white"/>
        </w:rPr>
        <w:t>os requisitos y fuera de eso tiene que tener unos soportes, incluso hay una resolución del ministerio y una resolución de la CREG que marca unas pautas para definir una obra como urgente; habiendo aclarado esto, un proyecto que es declarado como urgente da</w:t>
      </w:r>
      <w:r>
        <w:rPr>
          <w:rFonts w:ascii="Arial" w:eastAsia="Arial" w:hAnsi="Arial" w:cs="Arial"/>
          <w:sz w:val="22"/>
          <w:szCs w:val="22"/>
          <w:highlight w:val="white"/>
        </w:rPr>
        <w:t xml:space="preserve"> unos </w:t>
      </w:r>
      <w:proofErr w:type="gramStart"/>
      <w:r>
        <w:rPr>
          <w:rFonts w:ascii="Arial" w:eastAsia="Arial" w:hAnsi="Arial" w:cs="Arial"/>
          <w:sz w:val="22"/>
          <w:szCs w:val="22"/>
          <w:highlight w:val="white"/>
        </w:rPr>
        <w:t>alivios</w:t>
      </w:r>
      <w:proofErr w:type="gramEnd"/>
      <w:r>
        <w:rPr>
          <w:rFonts w:ascii="Arial" w:eastAsia="Arial" w:hAnsi="Arial" w:cs="Arial"/>
          <w:sz w:val="22"/>
          <w:szCs w:val="22"/>
          <w:highlight w:val="white"/>
        </w:rPr>
        <w:t xml:space="preserve"> pero en tiempos administrativos, puesto que ahorra un proceso administrativo, pero de igual manera hay un análisis técnico que se tiene que evaluar.</w:t>
      </w:r>
    </w:p>
    <w:p w:rsidR="00797606" w:rsidRDefault="00797606">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numPr>
          <w:ilvl w:val="0"/>
          <w:numId w:val="10"/>
        </w:numP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u w:val="single"/>
        </w:rPr>
        <w:lastRenderedPageBreak/>
        <w:t>Proceso asignación de capacidad (conexiones)</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La unidad ya está en procesos de radicación de solicitudes, que va hasta octubre de este año, aunque paralelo a esto se está realizando adecuaciones de la red y organizando las solicitudes; esto implica revisar completitudes, la remisión a la OR o devoluci</w:t>
      </w:r>
      <w:r>
        <w:rPr>
          <w:rFonts w:ascii="Arial" w:eastAsia="Arial" w:hAnsi="Arial" w:cs="Arial"/>
          <w:sz w:val="22"/>
          <w:szCs w:val="22"/>
          <w:highlight w:val="white"/>
        </w:rPr>
        <w:t>ones al promotor. Actualmente, llevamos 340 solicitudes recibidas, del cual 35% está en manos de la UPME, otro 35% en manos de los OR y el porcentaje restante está en los promotores.</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Luego de hacer las adecuaciones de la red, se inicia la actividad de cál</w:t>
      </w:r>
      <w:r>
        <w:rPr>
          <w:rFonts w:ascii="Arial" w:eastAsia="Arial" w:hAnsi="Arial" w:cs="Arial"/>
          <w:sz w:val="22"/>
          <w:szCs w:val="22"/>
          <w:highlight w:val="white"/>
        </w:rPr>
        <w:t>culo de capacidad por barra que es el punto de entrada de este proceso, luego de esto se hará la aplicación del MACC, con esto podremos conocer los proyectos que serán asignados por la capacidad disponible. Aquí hay un tema importante a tratar que es la de</w:t>
      </w:r>
      <w:r>
        <w:rPr>
          <w:rFonts w:ascii="Arial" w:eastAsia="Arial" w:hAnsi="Arial" w:cs="Arial"/>
          <w:sz w:val="22"/>
          <w:szCs w:val="22"/>
          <w:highlight w:val="white"/>
        </w:rPr>
        <w:t>finición de las obras de expansión, ya que para poder realizar estos cálculos se deberá tener ya listas las expansiones definidas del STR, aunque aún no se tendrán las del STN, puede ser que se tengan identificadas, pero no se van a tener aprobadas; por lo</w:t>
      </w:r>
      <w:r>
        <w:rPr>
          <w:rFonts w:ascii="Arial" w:eastAsia="Arial" w:hAnsi="Arial" w:cs="Arial"/>
          <w:sz w:val="22"/>
          <w:szCs w:val="22"/>
          <w:highlight w:val="white"/>
        </w:rPr>
        <w:t xml:space="preserve"> cual, no se van a poder considerar en el cálculo de capacidad. Es de aclarar que no se puede aprobar conexiones sin tener expansión aprobada. Esto nos lleva a lo que es el contexto de la fila 2 en la resolución CREG 075, de ahí en adelante se </w:t>
      </w:r>
      <w:proofErr w:type="gramStart"/>
      <w:r>
        <w:rPr>
          <w:rFonts w:ascii="Arial" w:eastAsia="Arial" w:hAnsi="Arial" w:cs="Arial"/>
          <w:sz w:val="22"/>
          <w:szCs w:val="22"/>
          <w:highlight w:val="white"/>
        </w:rPr>
        <w:t>conocerá  lu</w:t>
      </w:r>
      <w:r>
        <w:rPr>
          <w:rFonts w:ascii="Arial" w:eastAsia="Arial" w:hAnsi="Arial" w:cs="Arial"/>
          <w:sz w:val="22"/>
          <w:szCs w:val="22"/>
          <w:highlight w:val="white"/>
        </w:rPr>
        <w:t>ego</w:t>
      </w:r>
      <w:proofErr w:type="gramEnd"/>
      <w:r>
        <w:rPr>
          <w:rFonts w:ascii="Arial" w:eastAsia="Arial" w:hAnsi="Arial" w:cs="Arial"/>
          <w:sz w:val="22"/>
          <w:szCs w:val="22"/>
          <w:highlight w:val="white"/>
        </w:rPr>
        <w:t xml:space="preserve"> de esa primera parte de la asignación, lo que quedan para fila 1, que son los que requieren expansión. Esa expansión es la que estará en tránsito para aprobación por parte del Ministerio; y adicional será la que se introduce nuevamente al cálculo de ca</w:t>
      </w:r>
      <w:r>
        <w:rPr>
          <w:rFonts w:ascii="Arial" w:eastAsia="Arial" w:hAnsi="Arial" w:cs="Arial"/>
          <w:sz w:val="22"/>
          <w:szCs w:val="22"/>
          <w:highlight w:val="white"/>
        </w:rPr>
        <w:t>pacidad por barra, se hará la segunda iteración de asignación de capacidad, ya con obras aprobadas por parte del Ministerio; y saldrán los que se puedan asignar con esa expansión.</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 xml:space="preserve">Este es el resumen del proceso, luego se entregarán los resultados finales </w:t>
      </w:r>
      <w:r>
        <w:rPr>
          <w:rFonts w:ascii="Arial" w:eastAsia="Arial" w:hAnsi="Arial" w:cs="Arial"/>
          <w:sz w:val="22"/>
          <w:szCs w:val="22"/>
          <w:highlight w:val="white"/>
        </w:rPr>
        <w:t xml:space="preserve">para Julio. </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¿Por qué se hace esto? En la resolución dice que se puede presentar alternativas, y si se pueden presentar, pero para dar un ejemplo de este proceso, si nos paramos en un año regular que presentan la solicitud de conexión en marzo y se finali</w:t>
      </w:r>
      <w:r>
        <w:rPr>
          <w:rFonts w:ascii="Arial" w:eastAsia="Arial" w:hAnsi="Arial" w:cs="Arial"/>
          <w:sz w:val="22"/>
          <w:szCs w:val="22"/>
          <w:highlight w:val="white"/>
        </w:rPr>
        <w:t>za el proceso en diciembre, legalmente la UPME conocería los proyectos que van a fila 1 en agosto, es decir quedaría septiembre, octubre, noviembre y una partecita de diciembre para definir obras de expansión y conectar los que quedaron en fila 1, eso impl</w:t>
      </w:r>
      <w:r>
        <w:rPr>
          <w:rFonts w:ascii="Arial" w:eastAsia="Arial" w:hAnsi="Arial" w:cs="Arial"/>
          <w:sz w:val="22"/>
          <w:szCs w:val="22"/>
          <w:highlight w:val="white"/>
        </w:rPr>
        <w:t xml:space="preserve">icaría hacer análisis eléctricos, económico, definición de las obras, discusión con los involucrados, llevar al CAPT, poner el plan de expansión en comentarios con la ciudadanía, hacer ajustes y  remitir al Ministerio para aprobación, pero ¿A qué horas se </w:t>
      </w:r>
      <w:r>
        <w:rPr>
          <w:rFonts w:ascii="Arial" w:eastAsia="Arial" w:hAnsi="Arial" w:cs="Arial"/>
          <w:sz w:val="22"/>
          <w:szCs w:val="22"/>
          <w:highlight w:val="white"/>
        </w:rPr>
        <w:t>realiza el cálculo de capacidad por barra, y al MACC? es decir, físicamente  ese tiempo de ese proceso no da, y teniendo la posibilidad remota de que la propuesta sea una obra del STR, se tiene que entrar en discusión con el operador de red, porque la UPME</w:t>
      </w:r>
      <w:r>
        <w:rPr>
          <w:rFonts w:ascii="Arial" w:eastAsia="Arial" w:hAnsi="Arial" w:cs="Arial"/>
          <w:sz w:val="22"/>
          <w:szCs w:val="22"/>
          <w:highlight w:val="white"/>
        </w:rPr>
        <w:t xml:space="preserve"> no le puede aprobar de oficio la obra, es él OR el que la tiene que solicitar, puesto que él tiene que solicitar el reconocimiento de los activos. La Unidad no puede definir (o imponer) por encima del OR, que él tiene que hacer esa obra; hay algunos casos</w:t>
      </w:r>
      <w:r>
        <w:rPr>
          <w:rFonts w:ascii="Arial" w:eastAsia="Arial" w:hAnsi="Arial" w:cs="Arial"/>
          <w:sz w:val="22"/>
          <w:szCs w:val="22"/>
          <w:highlight w:val="white"/>
        </w:rPr>
        <w:t xml:space="preserve"> en los que, sí se puede hacer, pero se tienen que cumplir unas condiciones.</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r>
        <w:rPr>
          <w:rFonts w:ascii="Arial" w:eastAsia="Arial" w:hAnsi="Arial" w:cs="Arial"/>
          <w:sz w:val="22"/>
          <w:szCs w:val="22"/>
          <w:highlight w:val="white"/>
        </w:rPr>
        <w:t xml:space="preserve">De acuerdo a lo anterior, ese tiempo de 4 meses no da para todas las actividades que se tienen que desarrollar para este proceso; por </w:t>
      </w:r>
      <w:proofErr w:type="gramStart"/>
      <w:r>
        <w:rPr>
          <w:rFonts w:ascii="Arial" w:eastAsia="Arial" w:hAnsi="Arial" w:cs="Arial"/>
          <w:sz w:val="22"/>
          <w:szCs w:val="22"/>
          <w:highlight w:val="white"/>
        </w:rPr>
        <w:t>ende</w:t>
      </w:r>
      <w:proofErr w:type="gramEnd"/>
      <w:r>
        <w:rPr>
          <w:rFonts w:ascii="Arial" w:eastAsia="Arial" w:hAnsi="Arial" w:cs="Arial"/>
          <w:sz w:val="22"/>
          <w:szCs w:val="22"/>
          <w:highlight w:val="white"/>
        </w:rPr>
        <w:t xml:space="preserve"> se tiene que ajustar un poco y en el co</w:t>
      </w:r>
      <w:r>
        <w:rPr>
          <w:rFonts w:ascii="Arial" w:eastAsia="Arial" w:hAnsi="Arial" w:cs="Arial"/>
          <w:sz w:val="22"/>
          <w:szCs w:val="22"/>
          <w:highlight w:val="white"/>
        </w:rPr>
        <w:t>rto es: lo que se tenga aprobado en el momento para iniciar a correr el cálculo de capacidad por barra para fila 2, cuando se vaya a hacer la otra iteración ahí se aprobara la expansión adicional que habilite capacidad adicional para fila 1.</w:t>
      </w:r>
    </w:p>
    <w:p w:rsidR="00CB693E" w:rsidRDefault="00CB693E">
      <w:pPr>
        <w:pBdr>
          <w:top w:val="nil"/>
          <w:left w:val="nil"/>
          <w:bottom w:val="nil"/>
          <w:right w:val="nil"/>
          <w:between w:val="nil"/>
        </w:pBdr>
        <w:tabs>
          <w:tab w:val="left" w:pos="284"/>
          <w:tab w:val="center" w:pos="4419"/>
          <w:tab w:val="right" w:pos="8838"/>
        </w:tabs>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 xml:space="preserve">Actualmente, </w:t>
      </w:r>
      <w:r>
        <w:rPr>
          <w:rFonts w:ascii="Arial" w:eastAsia="Arial" w:hAnsi="Arial" w:cs="Arial"/>
          <w:sz w:val="22"/>
          <w:szCs w:val="22"/>
          <w:highlight w:val="white"/>
        </w:rPr>
        <w:t xml:space="preserve">estamos esperando que la CREG emita una nueva resolución que modifica algunos aspectos de la resolución CREG 075 que son bien importantes, uno de ellos es que permite que las cargas puedan hacer la solicitud en cualquier momento del año y los </w:t>
      </w:r>
      <w:proofErr w:type="spellStart"/>
      <w:r>
        <w:rPr>
          <w:rFonts w:ascii="Arial" w:eastAsia="Arial" w:hAnsi="Arial" w:cs="Arial"/>
          <w:sz w:val="22"/>
          <w:szCs w:val="22"/>
          <w:highlight w:val="white"/>
        </w:rPr>
        <w:t>autogenerador</w:t>
      </w:r>
      <w:r>
        <w:rPr>
          <w:rFonts w:ascii="Arial" w:eastAsia="Arial" w:hAnsi="Arial" w:cs="Arial"/>
          <w:sz w:val="22"/>
          <w:szCs w:val="22"/>
          <w:highlight w:val="white"/>
        </w:rPr>
        <w:t>es</w:t>
      </w:r>
      <w:proofErr w:type="spellEnd"/>
      <w:r>
        <w:rPr>
          <w:rFonts w:ascii="Arial" w:eastAsia="Arial" w:hAnsi="Arial" w:cs="Arial"/>
          <w:sz w:val="22"/>
          <w:szCs w:val="22"/>
          <w:highlight w:val="white"/>
        </w:rPr>
        <w:t xml:space="preserve"> sin entrega de excedentes, también elimina la penalización del año cuando no tienen la garantía y otros aspectos relevantes. Si esa resolución sale como ya está escrita, van a tener que asumir muy bien ese riesgo quienes se acostumbran a poner las garan</w:t>
      </w:r>
      <w:r>
        <w:rPr>
          <w:rFonts w:ascii="Arial" w:eastAsia="Arial" w:hAnsi="Arial" w:cs="Arial"/>
          <w:sz w:val="22"/>
          <w:szCs w:val="22"/>
          <w:highlight w:val="white"/>
        </w:rPr>
        <w:t>tías y dejar vencer las FPO, esto es, porque los dejaría por fuera, es decir no hay chance de justificar nada, así tenga el 95% del proyecto construido.</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La unidad actualmente tiene en mente algunos cambios estructurales aún para hacer en una próxima resol</w:t>
      </w:r>
      <w:r>
        <w:rPr>
          <w:rFonts w:ascii="Arial" w:eastAsia="Arial" w:hAnsi="Arial" w:cs="Arial"/>
          <w:sz w:val="22"/>
          <w:szCs w:val="22"/>
          <w:highlight w:val="white"/>
        </w:rPr>
        <w:t>ución para no detener esta, que ya está próxima a salir.</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numPr>
          <w:ilvl w:val="0"/>
          <w:numId w:val="7"/>
        </w:num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Poner algún tipo de mecanismo de control de entrada, puede ser la garantía de seriedad. Esto para eliminar un poco el tema de especulación de solicitudes, con eso evitaría esas fotocopias que se presentan en los estudios de conexión, por ejemplo, SER propo</w:t>
      </w:r>
      <w:r>
        <w:rPr>
          <w:rFonts w:ascii="Arial" w:eastAsia="Arial" w:hAnsi="Arial" w:cs="Arial"/>
          <w:sz w:val="22"/>
          <w:szCs w:val="22"/>
          <w:highlight w:val="white"/>
        </w:rPr>
        <w:t>ne una garantía de seriedad de 3.5 dólares por kW, eso es una cifra bastante elevada para poder participar. Pero dando el ejemplo con 1 dólar sería una buena cantidad para evitar que le saquen fotocopia al mismo estudio y se presenten 10 o más veces.</w:t>
      </w:r>
    </w:p>
    <w:p w:rsidR="00CB693E" w:rsidRDefault="00CB693E">
      <w:pPr>
        <w:pBdr>
          <w:top w:val="nil"/>
          <w:left w:val="nil"/>
          <w:bottom w:val="nil"/>
          <w:right w:val="nil"/>
          <w:between w:val="nil"/>
        </w:pBdr>
        <w:ind w:left="720"/>
        <w:jc w:val="both"/>
        <w:rPr>
          <w:rFonts w:ascii="Arial" w:eastAsia="Arial" w:hAnsi="Arial" w:cs="Arial"/>
          <w:sz w:val="22"/>
          <w:szCs w:val="22"/>
          <w:highlight w:val="white"/>
        </w:rPr>
      </w:pPr>
    </w:p>
    <w:p w:rsidR="00CB693E" w:rsidRDefault="00E21F8A">
      <w:pPr>
        <w:numPr>
          <w:ilvl w:val="0"/>
          <w:numId w:val="7"/>
        </w:num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El t</w:t>
      </w:r>
      <w:r>
        <w:rPr>
          <w:rFonts w:ascii="Arial" w:eastAsia="Arial" w:hAnsi="Arial" w:cs="Arial"/>
          <w:sz w:val="22"/>
          <w:szCs w:val="22"/>
          <w:highlight w:val="white"/>
        </w:rPr>
        <w:t>ema del análisis del cambio de FPO, puesto que se consume mucho tiempo en este proceso, y la unidad está analizando cosas que no tendría por qué analizar. Un ejemplo de esto, es el tema de interpretar o entender temas de fuerza mayor y orden público, ya qu</w:t>
      </w:r>
      <w:r>
        <w:rPr>
          <w:rFonts w:ascii="Arial" w:eastAsia="Arial" w:hAnsi="Arial" w:cs="Arial"/>
          <w:sz w:val="22"/>
          <w:szCs w:val="22"/>
          <w:highlight w:val="white"/>
        </w:rPr>
        <w:t xml:space="preserve">e es complejo porque se termina en problemas y riesgos judiciales por una condición de estas. Una solución podría ser adaptar lo que funciona en el STR, que sería una opción libre, es decir cambiar la FPO una vez de manera libre, puede ser con restricción </w:t>
      </w:r>
      <w:r>
        <w:rPr>
          <w:rFonts w:ascii="Arial" w:eastAsia="Arial" w:hAnsi="Arial" w:cs="Arial"/>
          <w:sz w:val="22"/>
          <w:szCs w:val="22"/>
          <w:highlight w:val="white"/>
        </w:rPr>
        <w:t>de tiempo, y después de esa primera vez cualquier cambio adicional tendría un costo, podría ser duplicar la garantía, o la segunda o tercera vez que quiera hacer un cambio de FPO se podría incluir unas causales que sean más sencillas de administrar y que l</w:t>
      </w:r>
      <w:r>
        <w:rPr>
          <w:rFonts w:ascii="Arial" w:eastAsia="Arial" w:hAnsi="Arial" w:cs="Arial"/>
          <w:sz w:val="22"/>
          <w:szCs w:val="22"/>
          <w:highlight w:val="white"/>
        </w:rPr>
        <w:t>a UPME pueda gestionar de manera más rápida, como por ejemplo el literal e), aunque ese tiene un inconveniente cuando se tiene que evaluar en qué porcentaje va el proyecto, y hay muchos que ni siquiera han enviado un informe de cumplimiento.</w:t>
      </w:r>
    </w:p>
    <w:p w:rsidR="00CB693E" w:rsidRDefault="00CB693E">
      <w:pPr>
        <w:pBdr>
          <w:top w:val="nil"/>
          <w:left w:val="nil"/>
          <w:bottom w:val="nil"/>
          <w:right w:val="nil"/>
          <w:between w:val="nil"/>
        </w:pBdr>
        <w:ind w:left="720"/>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i/>
          <w:sz w:val="22"/>
          <w:szCs w:val="22"/>
          <w:highlight w:val="white"/>
          <w:u w:val="single"/>
        </w:rPr>
        <w:lastRenderedPageBreak/>
        <w:t>Intervención:</w:t>
      </w:r>
      <w:r>
        <w:rPr>
          <w:rFonts w:ascii="Arial" w:eastAsia="Arial" w:hAnsi="Arial" w:cs="Arial"/>
          <w:sz w:val="22"/>
          <w:szCs w:val="22"/>
          <w:highlight w:val="white"/>
        </w:rPr>
        <w:t xml:space="preserve"> Aun así teniendo el control del proyecto, paralelamente a eso hay que recopilar una cantidad de argumentos que soportaría un cambio de FPO, ya que una variable cualquiera en X momento del proyecto, se dispara y puede hacer incumplir una FPO, sobre todo en</w:t>
      </w:r>
      <w:r>
        <w:rPr>
          <w:rFonts w:ascii="Arial" w:eastAsia="Arial" w:hAnsi="Arial" w:cs="Arial"/>
          <w:sz w:val="22"/>
          <w:szCs w:val="22"/>
          <w:highlight w:val="white"/>
        </w:rPr>
        <w:t xml:space="preserve"> proyectos de energía renovable, que son proyectos que tienen un cronograma muy ajustado, y que no permite a diferencia de un proyecto hidroeléctrico que tiene unas </w:t>
      </w:r>
      <w:proofErr w:type="spellStart"/>
      <w:r>
        <w:rPr>
          <w:rFonts w:ascii="Arial" w:eastAsia="Arial" w:hAnsi="Arial" w:cs="Arial"/>
          <w:sz w:val="22"/>
          <w:szCs w:val="22"/>
          <w:highlight w:val="white"/>
        </w:rPr>
        <w:t>subactividades</w:t>
      </w:r>
      <w:proofErr w:type="spellEnd"/>
      <w:r>
        <w:rPr>
          <w:rFonts w:ascii="Arial" w:eastAsia="Arial" w:hAnsi="Arial" w:cs="Arial"/>
          <w:sz w:val="22"/>
          <w:szCs w:val="22"/>
          <w:highlight w:val="white"/>
        </w:rPr>
        <w:t xml:space="preserve"> que permiten hacer ajustes y compensar y alcanzar el cronograma. Es decir qu</w:t>
      </w:r>
      <w:r>
        <w:rPr>
          <w:rFonts w:ascii="Arial" w:eastAsia="Arial" w:hAnsi="Arial" w:cs="Arial"/>
          <w:sz w:val="22"/>
          <w:szCs w:val="22"/>
          <w:highlight w:val="white"/>
        </w:rPr>
        <w:t>e a pesar de que el promotor tiene la intención para cumplir esa FPO, puede perder el control de la obra para llegar a esa fecha, es claro que tiene que empezar a soportar la posibilidad de que cerquita la FPO tiene que solicitar un cambio de la misma.</w:t>
      </w:r>
    </w:p>
    <w:p w:rsidR="00CB693E" w:rsidRDefault="00CB693E">
      <w:pPr>
        <w:pBdr>
          <w:top w:val="nil"/>
          <w:left w:val="nil"/>
          <w:bottom w:val="nil"/>
          <w:right w:val="nil"/>
          <w:between w:val="nil"/>
        </w:pBdr>
        <w:ind w:left="720"/>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En</w:t>
      </w:r>
      <w:r>
        <w:rPr>
          <w:rFonts w:ascii="Arial" w:eastAsia="Arial" w:hAnsi="Arial" w:cs="Arial"/>
          <w:sz w:val="22"/>
          <w:szCs w:val="22"/>
          <w:highlight w:val="white"/>
        </w:rPr>
        <w:t xml:space="preserve"> el caso anterior se tendrá que tener en cuenta alguna consideración, que en situaciones reales se deberá administrar algún comprobante, en este sentido apretar, pero no ahorcar. La idea es que este tipo de solicitudes no se convierta en una carga administ</w:t>
      </w:r>
      <w:r>
        <w:rPr>
          <w:rFonts w:ascii="Arial" w:eastAsia="Arial" w:hAnsi="Arial" w:cs="Arial"/>
          <w:sz w:val="22"/>
          <w:szCs w:val="22"/>
          <w:highlight w:val="white"/>
        </w:rPr>
        <w:t>rativa a la UPME.</w:t>
      </w:r>
    </w:p>
    <w:p w:rsidR="00CB693E" w:rsidRDefault="00CB693E">
      <w:pPr>
        <w:pBdr>
          <w:top w:val="nil"/>
          <w:left w:val="nil"/>
          <w:bottom w:val="nil"/>
          <w:right w:val="nil"/>
          <w:between w:val="nil"/>
        </w:pBdr>
        <w:ind w:left="720"/>
        <w:jc w:val="both"/>
        <w:rPr>
          <w:rFonts w:ascii="Arial" w:eastAsia="Arial" w:hAnsi="Arial" w:cs="Arial"/>
          <w:sz w:val="22"/>
          <w:szCs w:val="22"/>
          <w:highlight w:val="white"/>
        </w:rPr>
      </w:pPr>
    </w:p>
    <w:p w:rsidR="00CB693E" w:rsidRDefault="00E21F8A">
      <w:pPr>
        <w:numPr>
          <w:ilvl w:val="0"/>
          <w:numId w:val="7"/>
        </w:num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 xml:space="preserve"> Seguimiento a los hitos, ya que, si el proyecto tiene que entrar en una fecha determinada, porque la unidad tendría que estar viendo si cumplió o no algún hito. Adicional que se le tiene que creer cualquier cosa que envíe porque la UPME</w:t>
      </w:r>
      <w:r>
        <w:rPr>
          <w:rFonts w:ascii="Arial" w:eastAsia="Arial" w:hAnsi="Arial" w:cs="Arial"/>
          <w:sz w:val="22"/>
          <w:szCs w:val="22"/>
          <w:highlight w:val="white"/>
        </w:rPr>
        <w:t xml:space="preserve"> no tiene interventor, ni se va a campo, ni hay una forma efectiva para validar que se está cumpliendo un hito o no; y más para aproximadamente 400 proyectos que están hoy día aprobados; sumado a que se puede entrar en conflicto con lo que reportan en la a</w:t>
      </w:r>
      <w:r>
        <w:rPr>
          <w:rFonts w:ascii="Arial" w:eastAsia="Arial" w:hAnsi="Arial" w:cs="Arial"/>
          <w:sz w:val="22"/>
          <w:szCs w:val="22"/>
          <w:highlight w:val="white"/>
        </w:rPr>
        <w:t>uditoría por cargo por confiabilidad o la otra subasta o porque tienen interventor en otro lado.</w:t>
      </w:r>
    </w:p>
    <w:p w:rsidR="00CB693E" w:rsidRDefault="00CB693E">
      <w:pPr>
        <w:pBdr>
          <w:top w:val="nil"/>
          <w:left w:val="nil"/>
          <w:bottom w:val="nil"/>
          <w:right w:val="nil"/>
          <w:between w:val="nil"/>
        </w:pBdr>
        <w:ind w:left="720"/>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 xml:space="preserve">Todo lo anterior consume mucho tiempo y no deja a la unidad hacer lo que tiene que hacer que es </w:t>
      </w:r>
      <w:r>
        <w:rPr>
          <w:rFonts w:ascii="Arial" w:eastAsia="Arial" w:hAnsi="Arial" w:cs="Arial"/>
          <w:b/>
          <w:i/>
          <w:sz w:val="22"/>
          <w:szCs w:val="22"/>
          <w:highlight w:val="white"/>
        </w:rPr>
        <w:t>PLANEAR</w:t>
      </w:r>
      <w:r>
        <w:rPr>
          <w:rFonts w:ascii="Arial" w:eastAsia="Arial" w:hAnsi="Arial" w:cs="Arial"/>
          <w:sz w:val="22"/>
          <w:szCs w:val="22"/>
          <w:highlight w:val="white"/>
        </w:rPr>
        <w:t xml:space="preserve">. </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i/>
          <w:sz w:val="22"/>
          <w:szCs w:val="22"/>
          <w:highlight w:val="white"/>
          <w:u w:val="single"/>
        </w:rPr>
        <w:t>Intervención:</w:t>
      </w:r>
      <w:r>
        <w:rPr>
          <w:rFonts w:ascii="Arial" w:eastAsia="Arial" w:hAnsi="Arial" w:cs="Arial"/>
          <w:sz w:val="22"/>
          <w:szCs w:val="22"/>
          <w:highlight w:val="white"/>
        </w:rPr>
        <w:t xml:space="preserve"> Pensando en la demanda vegetativa, ¿la UPME puede ver necesario adoptar proyectos por urgencia en el plan anterior? (Lo cual se sabe que no es fácil) pero ¿cómo se va a llevar esto en el CAPT para que armonice? como ejemplo: el consumo del caribe en mayo </w:t>
      </w:r>
      <w:r>
        <w:rPr>
          <w:rFonts w:ascii="Arial" w:eastAsia="Arial" w:hAnsi="Arial" w:cs="Arial"/>
          <w:sz w:val="22"/>
          <w:szCs w:val="22"/>
          <w:highlight w:val="white"/>
        </w:rPr>
        <w:t xml:space="preserve">y junio fue el doble de lo que venía consumiendo, eso quiere decir que los planes de expansión que presentaron los OR, no tenían este salto, puede ser que este sea temporal o no, pero igual hay que analizarlo, entonces para hacer más clara la pregunta, si </w:t>
      </w:r>
      <w:r>
        <w:rPr>
          <w:rFonts w:ascii="Arial" w:eastAsia="Arial" w:hAnsi="Arial" w:cs="Arial"/>
          <w:sz w:val="22"/>
          <w:szCs w:val="22"/>
          <w:highlight w:val="white"/>
        </w:rPr>
        <w:t>se mira esa señal que da el OR y se discute si es necesario el diagnóstico que tiene en esa área, valdría la pena hacer un análisis en conjunto y plantear cosas o adelantar, trayendo del futuro al presente obras por esos saltos que se están dando, ¿Es nece</w:t>
      </w:r>
      <w:r>
        <w:rPr>
          <w:rFonts w:ascii="Arial" w:eastAsia="Arial" w:hAnsi="Arial" w:cs="Arial"/>
          <w:sz w:val="22"/>
          <w:szCs w:val="22"/>
          <w:highlight w:val="white"/>
        </w:rPr>
        <w:t xml:space="preserve">sario o no?, ahí abre un escenario para mirar en el corto plazo que ha pasado, mirar el plan de expansión si hace falta cosas y que así la UPME tenga señales para ese plan de expansión o que sean urgentes. </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lastRenderedPageBreak/>
        <w:t xml:space="preserve">El tema de los informes y de recoger las obras que se requieren, no es simplemente </w:t>
      </w:r>
      <w:r>
        <w:rPr>
          <w:rFonts w:ascii="Arial" w:eastAsia="Arial" w:hAnsi="Arial" w:cs="Arial"/>
          <w:sz w:val="22"/>
          <w:szCs w:val="22"/>
          <w:highlight w:val="white"/>
        </w:rPr>
        <w:t>listar</w:t>
      </w:r>
      <w:r>
        <w:rPr>
          <w:rFonts w:ascii="Arial" w:eastAsia="Arial" w:hAnsi="Arial" w:cs="Arial"/>
          <w:color w:val="000000"/>
          <w:sz w:val="22"/>
          <w:szCs w:val="22"/>
          <w:highlight w:val="white"/>
        </w:rPr>
        <w:t xml:space="preserve"> las solicitudes que hicieron los operadores de red. En los informes operativos parte de este filtro que se está haciendo incluye obras que se han propuesto y que ya e</w:t>
      </w:r>
      <w:r>
        <w:rPr>
          <w:rFonts w:ascii="Arial" w:eastAsia="Arial" w:hAnsi="Arial" w:cs="Arial"/>
          <w:color w:val="000000"/>
          <w:sz w:val="22"/>
          <w:szCs w:val="22"/>
          <w:highlight w:val="white"/>
        </w:rPr>
        <w:t>stán en la mesa para evaluar, de acuerdo a las señales que se han recogido de los informes operativos de XM y de lo que la misma UPME ha identificado, aquí se tiene todo el análisis de las conexiones particularmente del ciclo anterior, gracias a esto, se v</w:t>
      </w:r>
      <w:r>
        <w:rPr>
          <w:rFonts w:ascii="Arial" w:eastAsia="Arial" w:hAnsi="Arial" w:cs="Arial"/>
          <w:color w:val="000000"/>
          <w:sz w:val="22"/>
          <w:szCs w:val="22"/>
          <w:highlight w:val="white"/>
        </w:rPr>
        <w:t xml:space="preserve">io donde no hay capacidad,  donde habían problemas, se </w:t>
      </w:r>
      <w:r>
        <w:rPr>
          <w:rFonts w:ascii="Arial" w:eastAsia="Arial" w:hAnsi="Arial" w:cs="Arial"/>
          <w:sz w:val="22"/>
          <w:szCs w:val="22"/>
          <w:highlight w:val="white"/>
        </w:rPr>
        <w:t>verificó</w:t>
      </w:r>
      <w:r>
        <w:rPr>
          <w:rFonts w:ascii="Arial" w:eastAsia="Arial" w:hAnsi="Arial" w:cs="Arial"/>
          <w:color w:val="000000"/>
          <w:sz w:val="22"/>
          <w:szCs w:val="22"/>
          <w:highlight w:val="white"/>
        </w:rPr>
        <w:t xml:space="preserve"> donde los problemas eran combinados, el tema donde se quiere solucionar algo para la atención de la demanda y donde no hay capacidad de transporte para generación; eventualmente no se tiene en</w:t>
      </w:r>
      <w:r>
        <w:rPr>
          <w:rFonts w:ascii="Arial" w:eastAsia="Arial" w:hAnsi="Arial" w:cs="Arial"/>
          <w:color w:val="000000"/>
          <w:sz w:val="22"/>
          <w:szCs w:val="22"/>
          <w:highlight w:val="white"/>
        </w:rPr>
        <w:t xml:space="preserve"> todos los casos una solución específica para probar, algunas de ellas tendrán que salir de ese análisis y otras podrán salir de un análisis particular de la demanda. </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i/>
          <w:sz w:val="22"/>
          <w:szCs w:val="22"/>
          <w:highlight w:val="white"/>
          <w:u w:val="single"/>
        </w:rPr>
        <w:t>Intervención</w:t>
      </w:r>
      <w:r>
        <w:rPr>
          <w:rFonts w:ascii="Arial" w:eastAsia="Arial" w:hAnsi="Arial" w:cs="Arial"/>
          <w:sz w:val="22"/>
          <w:szCs w:val="22"/>
          <w:highlight w:val="white"/>
        </w:rPr>
        <w:t>: Dicho lo anterior entonces ¿Cuál sería el objetivo o las tareas de los si</w:t>
      </w:r>
      <w:r>
        <w:rPr>
          <w:rFonts w:ascii="Arial" w:eastAsia="Arial" w:hAnsi="Arial" w:cs="Arial"/>
          <w:sz w:val="22"/>
          <w:szCs w:val="22"/>
          <w:highlight w:val="white"/>
        </w:rPr>
        <w:t>guientes meses para el grupo técnico regulatorio? Sería bueno saberlo porque eso podría ayudar a prepararse para las discusiones y poder tener foco para que esas reuniones cierren cumpliendo el objetivo.</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La señal de cómo se deberían trabajar en estos grup</w:t>
      </w:r>
      <w:r>
        <w:rPr>
          <w:rFonts w:ascii="Arial" w:eastAsia="Arial" w:hAnsi="Arial" w:cs="Arial"/>
          <w:sz w:val="22"/>
          <w:szCs w:val="22"/>
          <w:highlight w:val="white"/>
        </w:rPr>
        <w:t>os es:</w:t>
      </w:r>
    </w:p>
    <w:p w:rsidR="00CB693E" w:rsidRDefault="00E21F8A">
      <w:pPr>
        <w:numPr>
          <w:ilvl w:val="0"/>
          <w:numId w:val="9"/>
        </w:numPr>
        <w:pBdr>
          <w:top w:val="nil"/>
          <w:left w:val="nil"/>
          <w:bottom w:val="nil"/>
          <w:right w:val="nil"/>
          <w:between w:val="nil"/>
        </w:pBdr>
        <w:jc w:val="both"/>
        <w:rPr>
          <w:rFonts w:ascii="Arial" w:eastAsia="Arial" w:hAnsi="Arial" w:cs="Arial"/>
          <w:sz w:val="22"/>
          <w:szCs w:val="22"/>
          <w:highlight w:val="white"/>
        </w:rPr>
      </w:pPr>
      <w:bookmarkStart w:id="8" w:name="_heading=h.2s8eyo1" w:colFirst="0" w:colLast="0"/>
      <w:bookmarkEnd w:id="8"/>
      <w:r>
        <w:rPr>
          <w:rFonts w:ascii="Arial" w:eastAsia="Arial" w:hAnsi="Arial" w:cs="Arial"/>
          <w:sz w:val="22"/>
          <w:szCs w:val="22"/>
          <w:highlight w:val="white"/>
        </w:rPr>
        <w:t xml:space="preserve">Revisión e identificación de los reportes de necesidades, de cruce con las obras que estén propuestas </w:t>
      </w:r>
    </w:p>
    <w:p w:rsidR="00CB693E" w:rsidRDefault="00E21F8A">
      <w:pPr>
        <w:numPr>
          <w:ilvl w:val="0"/>
          <w:numId w:val="9"/>
        </w:num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Identificación de las obras que se requieran y que aún no están propuestas y la entrada de solución de lo que corresponde.</w:t>
      </w:r>
    </w:p>
    <w:p w:rsidR="00CB693E" w:rsidRDefault="00CB693E">
      <w:pPr>
        <w:pBdr>
          <w:top w:val="nil"/>
          <w:left w:val="nil"/>
          <w:bottom w:val="nil"/>
          <w:right w:val="nil"/>
          <w:between w:val="nil"/>
        </w:pBdr>
        <w:ind w:left="720"/>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En general estos comit</w:t>
      </w:r>
      <w:r>
        <w:rPr>
          <w:rFonts w:ascii="Arial" w:eastAsia="Arial" w:hAnsi="Arial" w:cs="Arial"/>
          <w:sz w:val="22"/>
          <w:szCs w:val="22"/>
          <w:highlight w:val="white"/>
        </w:rPr>
        <w:t xml:space="preserve">és deben ser muy ejecutivos, evitando discusiones bizantinas. seguramente esto se debería dividir por </w:t>
      </w:r>
      <w:proofErr w:type="spellStart"/>
      <w:r>
        <w:rPr>
          <w:rFonts w:ascii="Arial" w:eastAsia="Arial" w:hAnsi="Arial" w:cs="Arial"/>
          <w:sz w:val="22"/>
          <w:szCs w:val="22"/>
          <w:highlight w:val="white"/>
        </w:rPr>
        <w:t>subáreas</w:t>
      </w:r>
      <w:proofErr w:type="spellEnd"/>
      <w:r>
        <w:rPr>
          <w:rFonts w:ascii="Arial" w:eastAsia="Arial" w:hAnsi="Arial" w:cs="Arial"/>
          <w:sz w:val="22"/>
          <w:szCs w:val="22"/>
          <w:highlight w:val="white"/>
        </w:rPr>
        <w:t>. Con el objetivo más importante que es la expansión en este momento, aprovechando el plazo que se dio al mover el cronograma de la CREG 075.</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i/>
          <w:sz w:val="22"/>
          <w:szCs w:val="22"/>
          <w:highlight w:val="white"/>
          <w:u w:val="single"/>
        </w:rPr>
        <w:t>Intervención:</w:t>
      </w:r>
      <w:r>
        <w:rPr>
          <w:rFonts w:ascii="Arial" w:eastAsia="Arial" w:hAnsi="Arial" w:cs="Arial"/>
          <w:sz w:val="22"/>
          <w:szCs w:val="22"/>
          <w:highlight w:val="white"/>
        </w:rPr>
        <w:t xml:space="preserve"> Como sugerencia se debería dar foco al área Caribe, con los dos operadores de red AFINIA y AIR-E, que arrancaran por el </w:t>
      </w:r>
      <w:proofErr w:type="spellStart"/>
      <w:r>
        <w:rPr>
          <w:rFonts w:ascii="Arial" w:eastAsia="Arial" w:hAnsi="Arial" w:cs="Arial"/>
          <w:sz w:val="22"/>
          <w:szCs w:val="22"/>
          <w:highlight w:val="white"/>
        </w:rPr>
        <w:t>diagnostico</w:t>
      </w:r>
      <w:proofErr w:type="spellEnd"/>
      <w:r>
        <w:rPr>
          <w:rFonts w:ascii="Arial" w:eastAsia="Arial" w:hAnsi="Arial" w:cs="Arial"/>
          <w:sz w:val="22"/>
          <w:szCs w:val="22"/>
          <w:highlight w:val="white"/>
        </w:rPr>
        <w:t xml:space="preserve"> para conocer y así poder aportar, ya que si todos conocemos el problema es más fácil aportar soluciones, segui</w:t>
      </w:r>
      <w:r>
        <w:rPr>
          <w:rFonts w:ascii="Arial" w:eastAsia="Arial" w:hAnsi="Arial" w:cs="Arial"/>
          <w:sz w:val="22"/>
          <w:szCs w:val="22"/>
          <w:highlight w:val="white"/>
        </w:rPr>
        <w:t>r después con DISPAC y luego con el área Oriental.</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 xml:space="preserve">Hay que dejar claro que no hay prioridades, si va haber algo que marque es la inmediatez de la situación que se esté presentando.  </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i/>
          <w:sz w:val="22"/>
          <w:szCs w:val="22"/>
          <w:highlight w:val="white"/>
          <w:u w:val="single"/>
        </w:rPr>
        <w:t>Intervención:</w:t>
      </w:r>
      <w:r>
        <w:rPr>
          <w:rFonts w:ascii="Arial" w:eastAsia="Arial" w:hAnsi="Arial" w:cs="Arial"/>
          <w:sz w:val="22"/>
          <w:szCs w:val="22"/>
          <w:highlight w:val="white"/>
        </w:rPr>
        <w:t xml:space="preserve"> Es importante anticiparnos y tener el cronograma para ser</w:t>
      </w:r>
      <w:r>
        <w:rPr>
          <w:rFonts w:ascii="Arial" w:eastAsia="Arial" w:hAnsi="Arial" w:cs="Arial"/>
          <w:sz w:val="22"/>
          <w:szCs w:val="22"/>
          <w:highlight w:val="white"/>
        </w:rPr>
        <w:t xml:space="preserve"> eficaces porque si se va a hablar de algún área es importante que se tenga el diagnóstico, si no va a pasar que si presentan la solución nadie va a poder opinar, porque no se conoce el problema y no va a ser eficaz la reunión. </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bookmarkStart w:id="9" w:name="_heading=h.17dp8vu" w:colFirst="0" w:colLast="0"/>
      <w:bookmarkEnd w:id="9"/>
      <w:r>
        <w:rPr>
          <w:rFonts w:ascii="Arial" w:eastAsia="Arial" w:hAnsi="Arial" w:cs="Arial"/>
          <w:sz w:val="22"/>
          <w:szCs w:val="22"/>
          <w:highlight w:val="white"/>
        </w:rPr>
        <w:lastRenderedPageBreak/>
        <w:t>Se debería armar un subgru</w:t>
      </w:r>
      <w:r>
        <w:rPr>
          <w:rFonts w:ascii="Arial" w:eastAsia="Arial" w:hAnsi="Arial" w:cs="Arial"/>
          <w:sz w:val="22"/>
          <w:szCs w:val="22"/>
          <w:highlight w:val="white"/>
        </w:rPr>
        <w:t>po que lo lideren los miembros del CAPT, pero no la UPME, y que todos puedan participar, y allí mismo se proponga una agenda y el tema metodológico, de tal manera que todos estén enterados de las situaciones y puedan aportar.</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 xml:space="preserve">En la gestión de proyectos y </w:t>
      </w:r>
      <w:r>
        <w:rPr>
          <w:rFonts w:ascii="Arial" w:eastAsia="Arial" w:hAnsi="Arial" w:cs="Arial"/>
          <w:sz w:val="22"/>
          <w:szCs w:val="22"/>
          <w:highlight w:val="white"/>
        </w:rPr>
        <w:t>obras, es fundamental asegurar una estructura sólida que permita un flujo de trabajo eficiente y transparente. En ese sentido, cuando se trata de aquellas iniciativas que aún no han sido aprobadas, es esencial contar con una identificación precisa de las n</w:t>
      </w:r>
      <w:r>
        <w:rPr>
          <w:rFonts w:ascii="Arial" w:eastAsia="Arial" w:hAnsi="Arial" w:cs="Arial"/>
          <w:sz w:val="22"/>
          <w:szCs w:val="22"/>
          <w:highlight w:val="white"/>
        </w:rPr>
        <w:t>ecesidades subyacentes y la naturaleza de las obras correspondientes. Una vez establecida esta base, se procederá a la elaboración del cronograma respectivo. Durante este proceso, se determinará si es pertinente considerarlas como parte de un plan intermed</w:t>
      </w:r>
      <w:r>
        <w:rPr>
          <w:rFonts w:ascii="Arial" w:eastAsia="Arial" w:hAnsi="Arial" w:cs="Arial"/>
          <w:sz w:val="22"/>
          <w:szCs w:val="22"/>
          <w:highlight w:val="white"/>
        </w:rPr>
        <w:t>io o si, por el contrario, deben incorporarse en el plan de febrero.</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Con miras a mejorar la gestión de nuestros proyectos, se sugiere que en el próximo comité se contemple la posibilidad de establecer una clasificación para las obras. De esta manera, podr</w:t>
      </w:r>
      <w:r>
        <w:rPr>
          <w:rFonts w:ascii="Arial" w:eastAsia="Arial" w:hAnsi="Arial" w:cs="Arial"/>
          <w:sz w:val="22"/>
          <w:szCs w:val="22"/>
          <w:highlight w:val="white"/>
        </w:rPr>
        <w:t>emos agruparlas de manera más eficiente y analizarlas con mayor claridad en función de sus características particulares.</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Es importante destacar que aquellas obras que se consideren necesarias deben ser sometidas a una evaluación económica de viabilidad po</w:t>
      </w:r>
      <w:r>
        <w:rPr>
          <w:rFonts w:ascii="Arial" w:eastAsia="Arial" w:hAnsi="Arial" w:cs="Arial"/>
          <w:sz w:val="22"/>
          <w:szCs w:val="22"/>
          <w:highlight w:val="white"/>
        </w:rPr>
        <w:t>r parte de la UPME. Esta evaluación es crucial para tomar decisiones informadas y respaldadas por datos concretos. Es preciso aclarar que la presentación de estas obras ante la UPME no solo tiene como objetivo su conocimiento, sino también integrarlas en l</w:t>
      </w:r>
      <w:r>
        <w:rPr>
          <w:rFonts w:ascii="Arial" w:eastAsia="Arial" w:hAnsi="Arial" w:cs="Arial"/>
          <w:sz w:val="22"/>
          <w:szCs w:val="22"/>
          <w:highlight w:val="white"/>
        </w:rPr>
        <w:t>os análisis pertinentes y enriquecer los conceptos del CAPT.</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bookmarkStart w:id="10" w:name="_heading=h.3rdcrjn" w:colFirst="0" w:colLast="0"/>
      <w:bookmarkEnd w:id="10"/>
      <w:r>
        <w:rPr>
          <w:rFonts w:ascii="Arial" w:eastAsia="Arial" w:hAnsi="Arial" w:cs="Arial"/>
          <w:sz w:val="22"/>
          <w:szCs w:val="22"/>
          <w:highlight w:val="white"/>
        </w:rPr>
        <w:t>Cabe señalar que el estudio de viabilidad llevado a cabo por XM y sus metodologías son independientes de los de la UPME. Por lo tanto, es imperativo que la UPME realice sus propios estudios de b</w:t>
      </w:r>
      <w:r>
        <w:rPr>
          <w:rFonts w:ascii="Arial" w:eastAsia="Arial" w:hAnsi="Arial" w:cs="Arial"/>
          <w:sz w:val="22"/>
          <w:szCs w:val="22"/>
          <w:highlight w:val="white"/>
        </w:rPr>
        <w:t>eneficio/costo para garantizar la integridad y precisión de los indicadores correspondientes.</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En el proceso de revisión de las obras, se evaluará su pertinencia y, de ser necesario, se incluirán para una revisión más exhaustiva en el próximo comité. A tal</w:t>
      </w:r>
      <w:r>
        <w:rPr>
          <w:rFonts w:ascii="Arial" w:eastAsia="Arial" w:hAnsi="Arial" w:cs="Arial"/>
          <w:sz w:val="22"/>
          <w:szCs w:val="22"/>
          <w:highlight w:val="white"/>
        </w:rPr>
        <w:t xml:space="preserve"> efecto, se considera de utilidad contar con una línea temporal que documente las evaluaciones realizadas por la UPME. Esto proporcionará una referencia temporal valiosa para los procesos a seguir.</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 xml:space="preserve">La propuesta será tenida en cuenta y se espera que todos </w:t>
      </w:r>
      <w:r>
        <w:rPr>
          <w:rFonts w:ascii="Arial" w:eastAsia="Arial" w:hAnsi="Arial" w:cs="Arial"/>
          <w:sz w:val="22"/>
          <w:szCs w:val="22"/>
          <w:highlight w:val="white"/>
        </w:rPr>
        <w:t>los miembros del CAPT se involucren activamente en la construcción de estas propuestas. Es esencial comprender que el CAPT en sí mismo debe asumir la responsabilidad de generar y dar seguimiento a estas recomendaciones, en lugar de asignar una persona espe</w:t>
      </w:r>
      <w:r>
        <w:rPr>
          <w:rFonts w:ascii="Arial" w:eastAsia="Arial" w:hAnsi="Arial" w:cs="Arial"/>
          <w:sz w:val="22"/>
          <w:szCs w:val="22"/>
          <w:highlight w:val="white"/>
        </w:rPr>
        <w:t>cífica para esta tarea.</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 xml:space="preserve">En cuanto a la presentación de avances, es posible que a partir de la tercera semana coincida con las actividades de los grupos técnicos regulatorios. Se sugiere coordinar la </w:t>
      </w:r>
      <w:r>
        <w:rPr>
          <w:rFonts w:ascii="Arial" w:eastAsia="Arial" w:hAnsi="Arial" w:cs="Arial"/>
          <w:sz w:val="22"/>
          <w:szCs w:val="22"/>
          <w:highlight w:val="white"/>
        </w:rPr>
        <w:lastRenderedPageBreak/>
        <w:t>agenda propuesta con dicha actividad para optimizar el u</w:t>
      </w:r>
      <w:r>
        <w:rPr>
          <w:rFonts w:ascii="Arial" w:eastAsia="Arial" w:hAnsi="Arial" w:cs="Arial"/>
          <w:sz w:val="22"/>
          <w:szCs w:val="22"/>
          <w:highlight w:val="white"/>
        </w:rPr>
        <w:t>so del tiempo y presentar revisiones adicionales en caso de ser necesario.</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Al concluir la reunión, se proporcionará la presentación realizada junto con los soportes de los cambios de fechas propuestos al Ministerio. Se hace hincapié en la importancia de e</w:t>
      </w:r>
      <w:r>
        <w:rPr>
          <w:rFonts w:ascii="Arial" w:eastAsia="Arial" w:hAnsi="Arial" w:cs="Arial"/>
          <w:sz w:val="22"/>
          <w:szCs w:val="22"/>
          <w:highlight w:val="white"/>
        </w:rPr>
        <w:t>stablecer un plazo para la observación de temas específicos. Esto permitirá cerrar esos temas de manera efectiva y proceder con los trámites necesarios en colaboración con el Ministerio.</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Es relevante aclarar que el comité emite un pronunciamiento sobre las obras, no otorga aprobaciones directas. En este contexto, dichos pronunciamientos se expresarán como recomendaciones para asegurar la coherencia y claridad del proceso.</w:t>
      </w:r>
    </w:p>
    <w:p w:rsidR="00CB693E" w:rsidRDefault="00CB693E">
      <w:pPr>
        <w:pBdr>
          <w:top w:val="nil"/>
          <w:left w:val="nil"/>
          <w:bottom w:val="nil"/>
          <w:right w:val="nil"/>
          <w:between w:val="nil"/>
        </w:pBdr>
        <w:jc w:val="both"/>
        <w:rPr>
          <w:rFonts w:ascii="Arial" w:eastAsia="Arial" w:hAnsi="Arial" w:cs="Arial"/>
          <w:sz w:val="22"/>
          <w:szCs w:val="22"/>
          <w:highlight w:val="white"/>
        </w:rPr>
      </w:pPr>
    </w:p>
    <w:p w:rsidR="00CB693E" w:rsidRDefault="00E21F8A">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sz w:val="22"/>
          <w:szCs w:val="22"/>
          <w:highlight w:val="white"/>
        </w:rPr>
        <w:t>Finalmente, es e</w:t>
      </w:r>
      <w:r>
        <w:rPr>
          <w:rFonts w:ascii="Arial" w:eastAsia="Arial" w:hAnsi="Arial" w:cs="Arial"/>
          <w:sz w:val="22"/>
          <w:szCs w:val="22"/>
          <w:highlight w:val="white"/>
        </w:rPr>
        <w:t>sencial recordar y reforzar el deber de mantener un interés activo en la ejecución exitosa de las obras. Este compromiso es crucial para garantizar que todas las iniciativas se desarrollen de acuerdo con los objetivos y estándares establecidos.</w:t>
      </w:r>
    </w:p>
    <w:p w:rsidR="00CB693E" w:rsidRDefault="00CB693E">
      <w:pPr>
        <w:pBdr>
          <w:top w:val="nil"/>
          <w:left w:val="nil"/>
          <w:bottom w:val="nil"/>
          <w:right w:val="nil"/>
          <w:between w:val="nil"/>
        </w:pBdr>
        <w:rPr>
          <w:rFonts w:ascii="Arial" w:eastAsia="Arial" w:hAnsi="Arial" w:cs="Arial"/>
          <w:sz w:val="22"/>
          <w:szCs w:val="22"/>
          <w:highlight w:val="white"/>
        </w:rPr>
      </w:pPr>
    </w:p>
    <w:p w:rsidR="00CB693E" w:rsidRDefault="00CB693E">
      <w:pPr>
        <w:pBdr>
          <w:top w:val="nil"/>
          <w:left w:val="nil"/>
          <w:bottom w:val="nil"/>
          <w:right w:val="nil"/>
          <w:between w:val="nil"/>
        </w:pBdr>
        <w:rPr>
          <w:rFonts w:ascii="Arial" w:eastAsia="Arial" w:hAnsi="Arial" w:cs="Arial"/>
          <w:sz w:val="22"/>
          <w:szCs w:val="22"/>
          <w:highlight w:val="white"/>
        </w:rPr>
      </w:pPr>
    </w:p>
    <w:p w:rsidR="00CB693E" w:rsidRDefault="00CB693E">
      <w:pPr>
        <w:pBdr>
          <w:top w:val="nil"/>
          <w:left w:val="nil"/>
          <w:bottom w:val="nil"/>
          <w:right w:val="nil"/>
          <w:between w:val="nil"/>
        </w:pBdr>
        <w:rPr>
          <w:rFonts w:ascii="Arial" w:eastAsia="Arial" w:hAnsi="Arial" w:cs="Arial"/>
          <w:sz w:val="22"/>
          <w:szCs w:val="22"/>
          <w:highlight w:val="white"/>
        </w:rPr>
      </w:pPr>
    </w:p>
    <w:p w:rsidR="00CB693E" w:rsidRDefault="00CB693E">
      <w:pPr>
        <w:pBdr>
          <w:top w:val="nil"/>
          <w:left w:val="nil"/>
          <w:bottom w:val="nil"/>
          <w:right w:val="nil"/>
          <w:between w:val="nil"/>
        </w:pBdr>
        <w:rPr>
          <w:rFonts w:ascii="Arial" w:eastAsia="Arial" w:hAnsi="Arial" w:cs="Arial"/>
          <w:sz w:val="22"/>
          <w:szCs w:val="22"/>
          <w:highlight w:val="white"/>
        </w:rPr>
      </w:pPr>
    </w:p>
    <w:p w:rsidR="00CB693E" w:rsidRDefault="00E21F8A">
      <w:pPr>
        <w:pBdr>
          <w:top w:val="nil"/>
          <w:left w:val="nil"/>
          <w:bottom w:val="nil"/>
          <w:right w:val="nil"/>
          <w:between w:val="nil"/>
        </w:pBdr>
        <w:jc w:val="center"/>
        <w:rPr>
          <w:rFonts w:ascii="Arial" w:eastAsia="Arial" w:hAnsi="Arial" w:cs="Arial"/>
          <w:b/>
          <w:sz w:val="22"/>
          <w:szCs w:val="22"/>
        </w:rPr>
      </w:pPr>
      <w:r>
        <w:rPr>
          <w:rFonts w:ascii="Arial" w:eastAsia="Arial" w:hAnsi="Arial" w:cs="Arial"/>
          <w:b/>
          <w:color w:val="000000"/>
          <w:sz w:val="22"/>
          <w:szCs w:val="22"/>
        </w:rPr>
        <w:t>CONCLUSIONES / DECISIONES</w:t>
      </w:r>
    </w:p>
    <w:p w:rsidR="00CB693E" w:rsidRDefault="00CB693E">
      <w:pPr>
        <w:pBdr>
          <w:top w:val="nil"/>
          <w:left w:val="nil"/>
          <w:bottom w:val="nil"/>
          <w:right w:val="nil"/>
          <w:between w:val="nil"/>
        </w:pBdr>
        <w:rPr>
          <w:rFonts w:ascii="Arial" w:eastAsia="Arial" w:hAnsi="Arial" w:cs="Arial"/>
          <w:sz w:val="22"/>
          <w:szCs w:val="22"/>
        </w:rPr>
      </w:pPr>
    </w:p>
    <w:p w:rsidR="00CB693E" w:rsidRDefault="00E21F8A">
      <w:pPr>
        <w:numPr>
          <w:ilvl w:val="0"/>
          <w:numId w:val="14"/>
        </w:numPr>
        <w:pBdr>
          <w:top w:val="nil"/>
          <w:left w:val="nil"/>
          <w:bottom w:val="nil"/>
          <w:right w:val="nil"/>
          <w:between w:val="nil"/>
        </w:pBd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En el marco del Plan de expansión de Transmisión (2022-2037) y (2023-2038), estas obras y proyectos reflejan el compromiso con la infraestructura eléctrica de calidad y la confiabilidad del sistema, con miras a brindar un servicio de excelencia a los usuar</w:t>
      </w:r>
      <w:r>
        <w:rPr>
          <w:rFonts w:ascii="Arial" w:eastAsia="Arial" w:hAnsi="Arial" w:cs="Arial"/>
          <w:color w:val="000000"/>
          <w:sz w:val="22"/>
          <w:szCs w:val="22"/>
          <w:highlight w:val="white"/>
        </w:rPr>
        <w:t>ios y contribuir al desarrollo sostenible.</w:t>
      </w:r>
    </w:p>
    <w:p w:rsidR="00CB693E" w:rsidRDefault="00CB693E">
      <w:pPr>
        <w:pBdr>
          <w:top w:val="nil"/>
          <w:left w:val="nil"/>
          <w:bottom w:val="nil"/>
          <w:right w:val="nil"/>
          <w:between w:val="nil"/>
        </w:pBdr>
        <w:ind w:left="720"/>
        <w:jc w:val="both"/>
        <w:rPr>
          <w:rFonts w:ascii="Arial" w:eastAsia="Arial" w:hAnsi="Arial" w:cs="Arial"/>
          <w:color w:val="000000"/>
          <w:sz w:val="22"/>
          <w:szCs w:val="22"/>
          <w:highlight w:val="white"/>
        </w:rPr>
      </w:pPr>
    </w:p>
    <w:p w:rsidR="00CB693E" w:rsidRDefault="00E21F8A">
      <w:pPr>
        <w:numPr>
          <w:ilvl w:val="0"/>
          <w:numId w:val="1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De acuerdo al informe de XM: </w:t>
      </w:r>
      <w:r>
        <w:rPr>
          <w:rFonts w:ascii="Arial" w:eastAsia="Arial" w:hAnsi="Arial" w:cs="Arial"/>
          <w:sz w:val="22"/>
          <w:szCs w:val="22"/>
        </w:rPr>
        <w:t>se presenta</w:t>
      </w:r>
      <w:r>
        <w:rPr>
          <w:rFonts w:ascii="Arial" w:eastAsia="Arial" w:hAnsi="Arial" w:cs="Arial"/>
          <w:color w:val="000000"/>
          <w:sz w:val="22"/>
          <w:szCs w:val="22"/>
        </w:rPr>
        <w:t xml:space="preserve"> agotamiento de la red debido a la no entrada y/o definición de proyectos de expansión a nivel del STR y al continuo crecimiento de la demanda. </w:t>
      </w:r>
      <w:r>
        <w:rPr>
          <w:rFonts w:ascii="Arial" w:eastAsia="Arial" w:hAnsi="Arial" w:cs="Arial"/>
          <w:sz w:val="22"/>
          <w:szCs w:val="22"/>
        </w:rPr>
        <w:t>Adicionalmente</w:t>
      </w:r>
      <w:r>
        <w:rPr>
          <w:rFonts w:ascii="Arial" w:eastAsia="Arial" w:hAnsi="Arial" w:cs="Arial"/>
          <w:color w:val="000000"/>
          <w:sz w:val="22"/>
          <w:szCs w:val="22"/>
        </w:rPr>
        <w:t>, se observa u</w:t>
      </w:r>
      <w:r>
        <w:rPr>
          <w:rFonts w:ascii="Arial" w:eastAsia="Arial" w:hAnsi="Arial" w:cs="Arial"/>
          <w:color w:val="000000"/>
          <w:sz w:val="22"/>
          <w:szCs w:val="22"/>
        </w:rPr>
        <w:t xml:space="preserve">n aumento en los cortes activos dentro del Sistema Interconectado Nacional (SIN), lo cual genera estrés en el sistema durante los períodos de mantenimiento. Algunas subestaciones se encuentran en configuraciones radiales o con </w:t>
      </w:r>
      <w:proofErr w:type="spellStart"/>
      <w:r>
        <w:rPr>
          <w:rFonts w:ascii="Arial" w:eastAsia="Arial" w:hAnsi="Arial" w:cs="Arial"/>
          <w:color w:val="000000"/>
          <w:sz w:val="22"/>
          <w:szCs w:val="22"/>
        </w:rPr>
        <w:t>enmallamientos</w:t>
      </w:r>
      <w:proofErr w:type="spellEnd"/>
      <w:r>
        <w:rPr>
          <w:rFonts w:ascii="Arial" w:eastAsia="Arial" w:hAnsi="Arial" w:cs="Arial"/>
          <w:color w:val="000000"/>
          <w:sz w:val="22"/>
          <w:szCs w:val="22"/>
        </w:rPr>
        <w:t xml:space="preserve"> débiles y se h</w:t>
      </w:r>
      <w:r>
        <w:rPr>
          <w:rFonts w:ascii="Arial" w:eastAsia="Arial" w:hAnsi="Arial" w:cs="Arial"/>
          <w:color w:val="000000"/>
          <w:sz w:val="22"/>
          <w:szCs w:val="22"/>
        </w:rPr>
        <w:t xml:space="preserve">an identificado 155 nodos radiales en total, principalmente ubicados en áreas como Caribe Bolívar, Córdoba-Sucre, GCM y </w:t>
      </w:r>
      <w:proofErr w:type="spellStart"/>
      <w:r>
        <w:rPr>
          <w:rFonts w:ascii="Arial" w:eastAsia="Arial" w:hAnsi="Arial" w:cs="Arial"/>
          <w:color w:val="000000"/>
          <w:sz w:val="22"/>
          <w:szCs w:val="22"/>
        </w:rPr>
        <w:t>Bosconia</w:t>
      </w:r>
      <w:proofErr w:type="spellEnd"/>
      <w:r>
        <w:rPr>
          <w:rFonts w:ascii="Arial" w:eastAsia="Arial" w:hAnsi="Arial" w:cs="Arial"/>
          <w:color w:val="000000"/>
          <w:sz w:val="22"/>
          <w:szCs w:val="22"/>
        </w:rPr>
        <w:t xml:space="preserve"> en Norte Santander. En la actualidad, se presenta un deterioro de la potencia segura atendible en estos nodos con configuración</w:t>
      </w:r>
      <w:r>
        <w:rPr>
          <w:rFonts w:ascii="Arial" w:eastAsia="Arial" w:hAnsi="Arial" w:cs="Arial"/>
          <w:color w:val="000000"/>
          <w:sz w:val="22"/>
          <w:szCs w:val="22"/>
        </w:rPr>
        <w:t xml:space="preserve"> radial.</w:t>
      </w:r>
    </w:p>
    <w:p w:rsidR="00CB693E" w:rsidRDefault="00CB693E">
      <w:pPr>
        <w:pBdr>
          <w:top w:val="nil"/>
          <w:left w:val="nil"/>
          <w:bottom w:val="nil"/>
          <w:right w:val="nil"/>
          <w:between w:val="nil"/>
        </w:pBdr>
        <w:ind w:left="720"/>
        <w:jc w:val="both"/>
        <w:rPr>
          <w:rFonts w:ascii="Arial" w:eastAsia="Arial" w:hAnsi="Arial" w:cs="Arial"/>
          <w:color w:val="000000"/>
          <w:sz w:val="22"/>
          <w:szCs w:val="22"/>
        </w:rPr>
      </w:pPr>
    </w:p>
    <w:p w:rsidR="00CB693E" w:rsidRDefault="00E21F8A">
      <w:pPr>
        <w:numPr>
          <w:ilvl w:val="0"/>
          <w:numId w:val="14"/>
        </w:numPr>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Comité ambiental: Se acordó que se va a realizar paralelo al comité técnico regulatorio, una semana antes del CAPT, toda vez que los participantes de cada comité son diferentes profesionales.</w:t>
      </w:r>
      <w:r>
        <w:rPr>
          <w:rFonts w:ascii="Arial" w:eastAsia="Arial" w:hAnsi="Arial" w:cs="Arial"/>
          <w:color w:val="FF0000"/>
          <w:sz w:val="22"/>
          <w:szCs w:val="22"/>
        </w:rPr>
        <w:t xml:space="preserve"> </w:t>
      </w:r>
      <w:r>
        <w:rPr>
          <w:rFonts w:ascii="Arial" w:eastAsia="Arial" w:hAnsi="Arial" w:cs="Arial"/>
          <w:color w:val="000000"/>
          <w:sz w:val="22"/>
          <w:szCs w:val="22"/>
        </w:rPr>
        <w:t xml:space="preserve">Adicionalmente se propone que se alterne la </w:t>
      </w:r>
      <w:proofErr w:type="spellStart"/>
      <w:r>
        <w:rPr>
          <w:rFonts w:ascii="Arial" w:eastAsia="Arial" w:hAnsi="Arial" w:cs="Arial"/>
          <w:color w:val="000000"/>
          <w:sz w:val="22"/>
          <w:szCs w:val="22"/>
        </w:rPr>
        <w:lastRenderedPageBreak/>
        <w:t>presencialidad</w:t>
      </w:r>
      <w:proofErr w:type="spellEnd"/>
      <w:r>
        <w:rPr>
          <w:rFonts w:ascii="Arial" w:eastAsia="Arial" w:hAnsi="Arial" w:cs="Arial"/>
          <w:color w:val="000000"/>
          <w:sz w:val="22"/>
          <w:szCs w:val="22"/>
        </w:rPr>
        <w:t>, es decir, un mes es presencial el Comité técnico y el ambiental es virtual, al siguiente mes se invierten.</w:t>
      </w:r>
    </w:p>
    <w:p w:rsidR="00CB693E" w:rsidRDefault="00E21F8A">
      <w:pPr>
        <w:numPr>
          <w:ilvl w:val="0"/>
          <w:numId w:val="1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 acuerdo al cronograma para Planeación, definición y aprobación de la expansión, el máx</w:t>
      </w:r>
      <w:r>
        <w:rPr>
          <w:rFonts w:ascii="Arial" w:eastAsia="Arial" w:hAnsi="Arial" w:cs="Arial"/>
          <w:color w:val="000000"/>
          <w:sz w:val="22"/>
          <w:szCs w:val="22"/>
        </w:rPr>
        <w:t>imo plazo para aprobación de obras del STR se tienen para finales de noviembre, y adicional estarán avanzadas las evaluaciones de obra del STN que se requieren, pero el proceso de aprobación para obras del STN continúa hasta febrero porque tiene un proceso</w:t>
      </w:r>
      <w:r>
        <w:rPr>
          <w:rFonts w:ascii="Arial" w:eastAsia="Arial" w:hAnsi="Arial" w:cs="Arial"/>
          <w:color w:val="000000"/>
          <w:sz w:val="22"/>
          <w:szCs w:val="22"/>
        </w:rPr>
        <w:t xml:space="preserve"> administrativo que se debe cumplir.</w:t>
      </w:r>
    </w:p>
    <w:p w:rsidR="00CB693E" w:rsidRDefault="00CB693E">
      <w:pPr>
        <w:pBdr>
          <w:top w:val="nil"/>
          <w:left w:val="nil"/>
          <w:bottom w:val="nil"/>
          <w:right w:val="nil"/>
          <w:between w:val="nil"/>
        </w:pBdr>
        <w:ind w:left="720"/>
        <w:rPr>
          <w:rFonts w:ascii="Arial" w:eastAsia="Arial" w:hAnsi="Arial" w:cs="Arial"/>
          <w:color w:val="000000"/>
          <w:sz w:val="22"/>
          <w:szCs w:val="22"/>
        </w:rPr>
      </w:pPr>
    </w:p>
    <w:p w:rsidR="00CB693E" w:rsidRDefault="00E21F8A">
      <w:pPr>
        <w:numPr>
          <w:ilvl w:val="0"/>
          <w:numId w:val="14"/>
        </w:numPr>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La unidad tiene en mente cambios estructurales para la resolución CREG 075, con el fin de solucionar temas de control de solicitudes de conexión, cambios de FPO, seguimiento de hitos entre otros, ya que esto conlleva u</w:t>
      </w:r>
      <w:r>
        <w:rPr>
          <w:rFonts w:ascii="Arial" w:eastAsia="Arial" w:hAnsi="Arial" w:cs="Arial"/>
          <w:color w:val="000000"/>
          <w:sz w:val="22"/>
          <w:szCs w:val="22"/>
        </w:rPr>
        <w:t>na gran carga administrativa, lo cual perjudica la actividad de planeación por cuestión de tiempo.</w:t>
      </w:r>
    </w:p>
    <w:p w:rsidR="00CB693E" w:rsidRDefault="00E21F8A">
      <w:pPr>
        <w:numPr>
          <w:ilvl w:val="0"/>
          <w:numId w:val="14"/>
        </w:numPr>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En estos grupos sea el comité técnico regulatorio y el CAPT, se debería trabajar con informes muy ejecutivos, haciendo una revisión e identificación de los r</w:t>
      </w:r>
      <w:r>
        <w:rPr>
          <w:rFonts w:ascii="Arial" w:eastAsia="Arial" w:hAnsi="Arial" w:cs="Arial"/>
          <w:color w:val="000000"/>
          <w:sz w:val="22"/>
          <w:szCs w:val="22"/>
        </w:rPr>
        <w:t xml:space="preserve">eportes de necesidades, de cruce con las obras que estén </w:t>
      </w:r>
      <w:proofErr w:type="gramStart"/>
      <w:r>
        <w:rPr>
          <w:rFonts w:ascii="Arial" w:eastAsia="Arial" w:hAnsi="Arial" w:cs="Arial"/>
          <w:color w:val="000000"/>
          <w:sz w:val="22"/>
          <w:szCs w:val="22"/>
        </w:rPr>
        <w:t>propuestas  e</w:t>
      </w:r>
      <w:proofErr w:type="gramEnd"/>
      <w:r>
        <w:rPr>
          <w:rFonts w:ascii="Arial" w:eastAsia="Arial" w:hAnsi="Arial" w:cs="Arial"/>
          <w:color w:val="000000"/>
          <w:sz w:val="22"/>
          <w:szCs w:val="22"/>
        </w:rPr>
        <w:t xml:space="preserve"> identificación de las obras que se requieran y que aún no están propuestas y la entrada de solución de lo que corresponde, dividiendo esto por áreas o </w:t>
      </w:r>
      <w:proofErr w:type="spellStart"/>
      <w:r>
        <w:rPr>
          <w:rFonts w:ascii="Arial" w:eastAsia="Arial" w:hAnsi="Arial" w:cs="Arial"/>
          <w:color w:val="000000"/>
          <w:sz w:val="22"/>
          <w:szCs w:val="22"/>
        </w:rPr>
        <w:t>subáreas</w:t>
      </w:r>
      <w:proofErr w:type="spellEnd"/>
      <w:r>
        <w:rPr>
          <w:rFonts w:ascii="Arial" w:eastAsia="Arial" w:hAnsi="Arial" w:cs="Arial"/>
          <w:color w:val="000000"/>
          <w:sz w:val="22"/>
          <w:szCs w:val="22"/>
        </w:rPr>
        <w:t>.</w:t>
      </w:r>
    </w:p>
    <w:p w:rsidR="00CB693E" w:rsidRDefault="00E21F8A">
      <w:pPr>
        <w:numPr>
          <w:ilvl w:val="0"/>
          <w:numId w:val="1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Como propuesta del ing. </w:t>
      </w:r>
      <w:r>
        <w:rPr>
          <w:rFonts w:ascii="Arial" w:eastAsia="Arial" w:hAnsi="Arial" w:cs="Arial"/>
          <w:color w:val="000000"/>
          <w:sz w:val="22"/>
          <w:szCs w:val="22"/>
        </w:rPr>
        <w:t xml:space="preserve">Javier </w:t>
      </w:r>
      <w:proofErr w:type="spellStart"/>
      <w:r>
        <w:rPr>
          <w:rFonts w:ascii="Arial" w:eastAsia="Arial" w:hAnsi="Arial" w:cs="Arial"/>
          <w:color w:val="000000"/>
          <w:sz w:val="22"/>
          <w:szCs w:val="22"/>
        </w:rPr>
        <w:t>Martinez</w:t>
      </w:r>
      <w:proofErr w:type="spellEnd"/>
      <w:r>
        <w:rPr>
          <w:rFonts w:ascii="Arial" w:eastAsia="Arial" w:hAnsi="Arial" w:cs="Arial"/>
          <w:color w:val="000000"/>
          <w:sz w:val="22"/>
          <w:szCs w:val="22"/>
        </w:rPr>
        <w:t>: Se debería armar un subgrupo que lo lideren los miembros del CAPT, pero no la UPME, en el que todos puedan participar, y allí mismo se proponga una agenda y el tema metodológico, de tal manera que todos estén enterados de las situaciones y</w:t>
      </w:r>
      <w:r>
        <w:rPr>
          <w:rFonts w:ascii="Arial" w:eastAsia="Arial" w:hAnsi="Arial" w:cs="Arial"/>
          <w:color w:val="000000"/>
          <w:sz w:val="22"/>
          <w:szCs w:val="22"/>
        </w:rPr>
        <w:t xml:space="preserve"> puedan aportar.</w:t>
      </w:r>
    </w:p>
    <w:p w:rsidR="00CB693E" w:rsidRDefault="00CB693E">
      <w:pPr>
        <w:pBdr>
          <w:top w:val="nil"/>
          <w:left w:val="nil"/>
          <w:bottom w:val="nil"/>
          <w:right w:val="nil"/>
          <w:between w:val="nil"/>
        </w:pBdr>
        <w:jc w:val="both"/>
        <w:rPr>
          <w:rFonts w:ascii="Arial" w:eastAsia="Arial" w:hAnsi="Arial" w:cs="Arial"/>
          <w:color w:val="000000"/>
          <w:sz w:val="22"/>
          <w:szCs w:val="22"/>
        </w:rPr>
      </w:pPr>
    </w:p>
    <w:p w:rsidR="00CB693E" w:rsidRDefault="00E21F8A">
      <w:pPr>
        <w:numPr>
          <w:ilvl w:val="0"/>
          <w:numId w:val="14"/>
        </w:numPr>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highlight w:val="white"/>
        </w:rPr>
        <w:t>El estudio de viabilidad llevado a cabo por XM y sus metodologías son independientes de los de la UPME. Por lo tanto, es imperativo que la UPME realice sus propios estudios de beneficio/costo para garantizar la integridad y precisión de los indicadores cor</w:t>
      </w:r>
      <w:r>
        <w:rPr>
          <w:rFonts w:ascii="Arial" w:eastAsia="Arial" w:hAnsi="Arial" w:cs="Arial"/>
          <w:color w:val="000000"/>
          <w:sz w:val="22"/>
          <w:szCs w:val="22"/>
          <w:highlight w:val="white"/>
        </w:rPr>
        <w:t>respondientes.</w:t>
      </w:r>
    </w:p>
    <w:p w:rsidR="00CB693E" w:rsidRDefault="00CB693E">
      <w:pPr>
        <w:pBdr>
          <w:top w:val="nil"/>
          <w:left w:val="nil"/>
          <w:bottom w:val="nil"/>
          <w:right w:val="nil"/>
          <w:between w:val="nil"/>
        </w:pBdr>
        <w:rPr>
          <w:rFonts w:ascii="Arial" w:eastAsia="Arial" w:hAnsi="Arial" w:cs="Arial"/>
          <w:sz w:val="22"/>
          <w:szCs w:val="22"/>
        </w:rPr>
      </w:pPr>
    </w:p>
    <w:p w:rsidR="00CB693E" w:rsidRDefault="00E21F8A">
      <w:pPr>
        <w:pBdr>
          <w:top w:val="nil"/>
          <w:left w:val="nil"/>
          <w:bottom w:val="nil"/>
          <w:right w:val="nil"/>
          <w:between w:val="nil"/>
        </w:pBdr>
        <w:rPr>
          <w:color w:val="000000"/>
        </w:rPr>
      </w:pPr>
      <w:r>
        <w:rPr>
          <w:rFonts w:ascii="Arial" w:eastAsia="Arial" w:hAnsi="Arial" w:cs="Arial"/>
          <w:b/>
          <w:color w:val="000000"/>
          <w:sz w:val="22"/>
          <w:szCs w:val="22"/>
        </w:rPr>
        <w:t>FIRMAS</w:t>
      </w:r>
      <w:r>
        <w:rPr>
          <w:rFonts w:ascii="Arial" w:eastAsia="Arial" w:hAnsi="Arial" w:cs="Arial"/>
          <w:color w:val="000000"/>
          <w:sz w:val="22"/>
          <w:szCs w:val="22"/>
        </w:rPr>
        <w:tab/>
      </w:r>
    </w:p>
    <w:p w:rsidR="00CB693E" w:rsidRDefault="00CB693E">
      <w:pPr>
        <w:pBdr>
          <w:top w:val="nil"/>
          <w:left w:val="nil"/>
          <w:bottom w:val="nil"/>
          <w:right w:val="nil"/>
          <w:between w:val="nil"/>
        </w:pBdr>
        <w:rPr>
          <w:rFonts w:ascii="Arial" w:eastAsia="Arial" w:hAnsi="Arial" w:cs="Arial"/>
          <w:color w:val="000000"/>
          <w:sz w:val="22"/>
          <w:szCs w:val="22"/>
        </w:rPr>
      </w:pPr>
    </w:p>
    <w:p w:rsidR="00CB693E" w:rsidRDefault="00CB693E">
      <w:pPr>
        <w:pBdr>
          <w:top w:val="nil"/>
          <w:left w:val="nil"/>
          <w:bottom w:val="nil"/>
          <w:right w:val="nil"/>
          <w:between w:val="nil"/>
        </w:pBdr>
        <w:rPr>
          <w:rFonts w:ascii="Arial" w:eastAsia="Arial" w:hAnsi="Arial" w:cs="Arial"/>
          <w:color w:val="000000"/>
          <w:sz w:val="22"/>
          <w:szCs w:val="22"/>
        </w:rPr>
      </w:pPr>
    </w:p>
    <w:p w:rsidR="00CB693E" w:rsidRDefault="00CB693E">
      <w:pPr>
        <w:rPr>
          <w:rFonts w:ascii="Arial" w:eastAsia="Arial" w:hAnsi="Arial" w:cs="Arial"/>
          <w:color w:val="000000"/>
          <w:sz w:val="22"/>
          <w:szCs w:val="22"/>
        </w:rPr>
      </w:pPr>
    </w:p>
    <w:p w:rsidR="00CB693E" w:rsidRDefault="00CB693E">
      <w:pPr>
        <w:rPr>
          <w:rFonts w:ascii="Arial" w:eastAsia="Arial" w:hAnsi="Arial" w:cs="Arial"/>
          <w:color w:val="000000"/>
          <w:sz w:val="22"/>
          <w:szCs w:val="22"/>
        </w:rPr>
      </w:pPr>
    </w:p>
    <w:p w:rsidR="00797606" w:rsidRDefault="00797606" w:rsidP="00797606">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José Vicente Melo</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Javier Andrés Martínez Gil</w:t>
      </w:r>
    </w:p>
    <w:p w:rsidR="00CB693E" w:rsidRDefault="00797606" w:rsidP="0079760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Presidente</w:t>
      </w:r>
      <w:r>
        <w:rPr>
          <w:rFonts w:ascii="Arial" w:eastAsia="Arial" w:hAnsi="Arial" w:cs="Arial"/>
          <w:color w:val="000000"/>
          <w:sz w:val="22"/>
          <w:szCs w:val="22"/>
        </w:rPr>
        <w:tab/>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Secretario técnico</w:t>
      </w:r>
      <w:bookmarkStart w:id="11" w:name="_GoBack"/>
      <w:bookmarkEnd w:id="11"/>
    </w:p>
    <w:p w:rsidR="00CB693E" w:rsidRDefault="00CB693E">
      <w:pPr>
        <w:pBdr>
          <w:top w:val="nil"/>
          <w:left w:val="nil"/>
          <w:bottom w:val="nil"/>
          <w:right w:val="nil"/>
          <w:between w:val="nil"/>
        </w:pBdr>
        <w:jc w:val="both"/>
        <w:rPr>
          <w:rFonts w:ascii="Arial" w:eastAsia="Arial" w:hAnsi="Arial" w:cs="Arial"/>
          <w:b/>
          <w:color w:val="000000"/>
          <w:sz w:val="22"/>
          <w:szCs w:val="22"/>
        </w:rPr>
      </w:pPr>
    </w:p>
    <w:p w:rsidR="00CB693E" w:rsidRDefault="00CB693E">
      <w:pPr>
        <w:pBdr>
          <w:top w:val="nil"/>
          <w:left w:val="nil"/>
          <w:bottom w:val="nil"/>
          <w:right w:val="nil"/>
          <w:between w:val="nil"/>
        </w:pBdr>
        <w:rPr>
          <w:color w:val="000000"/>
        </w:rPr>
      </w:pPr>
      <w:bookmarkStart w:id="12" w:name="_heading=h.30j0zll" w:colFirst="0" w:colLast="0"/>
      <w:bookmarkEnd w:id="12"/>
    </w:p>
    <w:sectPr w:rsidR="00CB693E">
      <w:headerReference w:type="default" r:id="rId8"/>
      <w:footerReference w:type="default" r:id="rId9"/>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F8A" w:rsidRDefault="00E21F8A">
      <w:r>
        <w:separator/>
      </w:r>
    </w:p>
  </w:endnote>
  <w:endnote w:type="continuationSeparator" w:id="0">
    <w:p w:rsidR="00E21F8A" w:rsidRDefault="00E2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Times New Roman"/>
    <w:charset w:val="00"/>
    <w:family w:val="swiss"/>
    <w:pitch w:val="variable"/>
    <w:sig w:usb0="E00002EF" w:usb1="4000205B" w:usb2="00000028" w:usb3="00000000" w:csb0="000001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3E" w:rsidRDefault="00E21F8A">
    <w:pPr>
      <w:tabs>
        <w:tab w:val="center" w:pos="4419"/>
        <w:tab w:val="right" w:pos="8838"/>
      </w:tabs>
      <w:jc w:val="both"/>
      <w:rPr>
        <w:rFonts w:ascii="Arial" w:eastAsia="Arial" w:hAnsi="Arial" w:cs="Arial"/>
        <w:b/>
        <w:i/>
        <w:color w:val="7F7F7F"/>
        <w:sz w:val="10"/>
        <w:szCs w:val="10"/>
      </w:rPr>
    </w:pPr>
    <w:r>
      <w:rPr>
        <w:rFonts w:ascii="Arial" w:eastAsia="Arial" w:hAnsi="Arial" w:cs="Arial"/>
        <w:b/>
        <w:sz w:val="14"/>
        <w:szCs w:val="14"/>
      </w:rPr>
      <w:t xml:space="preserve">F-DO-01    </w:t>
    </w:r>
    <w:r>
      <w:rPr>
        <w:rFonts w:ascii="Arial" w:eastAsia="Arial" w:hAnsi="Arial" w:cs="Arial"/>
        <w:b/>
        <w:sz w:val="14"/>
        <w:szCs w:val="14"/>
      </w:rPr>
      <w:tab/>
    </w:r>
    <w:r>
      <w:rPr>
        <w:rFonts w:ascii="Arial" w:eastAsia="Arial" w:hAnsi="Arial" w:cs="Arial"/>
        <w:b/>
        <w:color w:val="000000"/>
        <w:sz w:val="14"/>
        <w:szCs w:val="14"/>
      </w:rPr>
      <w:t xml:space="preserve">                                                                                                                                                                                              2022/08/12</w:t>
    </w:r>
  </w:p>
  <w:p w:rsidR="00CB693E" w:rsidRDefault="00E21F8A">
    <w:pPr>
      <w:pBdr>
        <w:bottom w:val="single" w:sz="12" w:space="1" w:color="000000"/>
      </w:pBdr>
      <w:jc w:val="both"/>
      <w:rPr>
        <w:rFonts w:ascii="Arial" w:eastAsia="Arial" w:hAnsi="Arial" w:cs="Arial"/>
        <w:b/>
        <w:color w:val="000000"/>
        <w:sz w:val="14"/>
        <w:szCs w:val="14"/>
      </w:rPr>
    </w:pPr>
    <w:r>
      <w:rPr>
        <w:rFonts w:ascii="Arial" w:eastAsia="Arial" w:hAnsi="Arial" w:cs="Arial"/>
        <w:b/>
        <w:i/>
        <w:color w:val="7F7F7F"/>
        <w:sz w:val="10"/>
        <w:szCs w:val="10"/>
      </w:rPr>
      <w:t xml:space="preserve">Recuerde: </w:t>
    </w:r>
    <w:r>
      <w:rPr>
        <w:rFonts w:ascii="Arial" w:eastAsia="Arial" w:hAnsi="Arial" w:cs="Arial"/>
        <w:i/>
        <w:color w:val="7F7F7F"/>
        <w:sz w:val="10"/>
        <w:szCs w:val="10"/>
      </w:rPr>
      <w:t xml:space="preserve">Si este documento se encuentra impreso no se </w:t>
    </w:r>
    <w:r>
      <w:rPr>
        <w:rFonts w:ascii="Arial" w:eastAsia="Arial" w:hAnsi="Arial" w:cs="Arial"/>
        <w:i/>
        <w:color w:val="7F7F7F"/>
        <w:sz w:val="10"/>
        <w:szCs w:val="10"/>
      </w:rPr>
      <w:t xml:space="preserve">garantiza su vigencia, por lo tanto, se considera </w:t>
    </w:r>
    <w:r>
      <w:rPr>
        <w:rFonts w:ascii="Arial" w:eastAsia="Arial" w:hAnsi="Arial" w:cs="Arial"/>
        <w:b/>
        <w:i/>
        <w:color w:val="000000"/>
        <w:sz w:val="10"/>
        <w:szCs w:val="10"/>
      </w:rPr>
      <w:t>“</w:t>
    </w:r>
    <w:r>
      <w:rPr>
        <w:rFonts w:ascii="Arial" w:eastAsia="Arial" w:hAnsi="Arial" w:cs="Arial"/>
        <w:b/>
        <w:i/>
        <w:color w:val="000000"/>
        <w:sz w:val="10"/>
        <w:szCs w:val="10"/>
        <w:u w:val="single"/>
      </w:rPr>
      <w:t>Copia No Controlada”</w:t>
    </w:r>
    <w:r>
      <w:rPr>
        <w:rFonts w:ascii="Arial" w:eastAsia="Arial" w:hAnsi="Arial" w:cs="Arial"/>
        <w:b/>
        <w:i/>
        <w:color w:val="000000"/>
        <w:sz w:val="10"/>
        <w:szCs w:val="10"/>
      </w:rPr>
      <w:t>.</w:t>
    </w:r>
    <w:r>
      <w:rPr>
        <w:rFonts w:ascii="Arial" w:eastAsia="Arial" w:hAnsi="Arial" w:cs="Arial"/>
        <w:i/>
        <w:color w:val="000000"/>
        <w:sz w:val="10"/>
        <w:szCs w:val="10"/>
      </w:rPr>
      <w:t xml:space="preserve"> </w:t>
    </w:r>
    <w:r>
      <w:rPr>
        <w:rFonts w:ascii="Arial" w:eastAsia="Arial" w:hAnsi="Arial" w:cs="Arial"/>
        <w:i/>
        <w:color w:val="7F7F7F"/>
        <w:sz w:val="10"/>
        <w:szCs w:val="10"/>
      </w:rPr>
      <w:t>La versión vigente se encuentra publicada en el Sistema de Gestión Único Estratégico de Mejoramiento - SIGUEME</w:t>
    </w:r>
    <w:r>
      <w:rPr>
        <w:rFonts w:ascii="Arial" w:eastAsia="Arial" w:hAnsi="Arial" w:cs="Arial"/>
        <w:color w:val="7F7F7F"/>
        <w:sz w:val="10"/>
        <w:szCs w:val="10"/>
      </w:rPr>
      <w:t>.</w:t>
    </w:r>
    <w:r>
      <w:rPr>
        <w:rFonts w:ascii="Arial" w:eastAsia="Arial" w:hAnsi="Arial" w:cs="Arial"/>
        <w:b/>
        <w:color w:val="262626"/>
        <w:sz w:val="14"/>
        <w:szCs w:val="14"/>
      </w:rPr>
      <w:t xml:space="preserve">  </w:t>
    </w:r>
  </w:p>
  <w:p w:rsidR="00CB693E" w:rsidRDefault="00E21F8A">
    <w:pPr>
      <w:rPr>
        <w:rFonts w:ascii="Arial" w:eastAsia="Arial" w:hAnsi="Arial" w:cs="Arial"/>
        <w:sz w:val="12"/>
        <w:szCs w:val="12"/>
      </w:rPr>
    </w:pPr>
    <w:r>
      <w:rPr>
        <w:rFonts w:ascii="Arial" w:eastAsia="Arial" w:hAnsi="Arial" w:cs="Arial"/>
        <w:sz w:val="12"/>
        <w:szCs w:val="12"/>
      </w:rPr>
      <w:t xml:space="preserve">GESTIÓN DOCUMENTAL. Original: Dependencia que ejerce Secretaría de Comité (Serie o </w:t>
    </w:r>
    <w:proofErr w:type="spellStart"/>
    <w:r>
      <w:rPr>
        <w:rFonts w:ascii="Arial" w:eastAsia="Arial" w:hAnsi="Arial" w:cs="Arial"/>
        <w:sz w:val="12"/>
        <w:szCs w:val="12"/>
      </w:rPr>
      <w:t>Subserie</w:t>
    </w:r>
    <w:proofErr w:type="spellEnd"/>
    <w:r>
      <w:rPr>
        <w:rFonts w:ascii="Arial" w:eastAsia="Arial" w:hAnsi="Arial" w:cs="Arial"/>
        <w:sz w:val="12"/>
        <w:szCs w:val="12"/>
      </w:rPr>
      <w:t xml:space="preserve"> a que haya lugar). </w:t>
    </w:r>
  </w:p>
  <w:p w:rsidR="00CB693E" w:rsidRDefault="00E21F8A">
    <w:pPr>
      <w:tabs>
        <w:tab w:val="center" w:pos="4419"/>
        <w:tab w:val="right" w:pos="8838"/>
      </w:tabs>
      <w:jc w:val="both"/>
      <w:rPr>
        <w:sz w:val="14"/>
        <w:szCs w:val="14"/>
      </w:rPr>
    </w:pPr>
    <w:r>
      <w:rPr>
        <w:rFonts w:ascii="Arial" w:eastAsia="Arial" w:hAnsi="Arial" w:cs="Arial"/>
        <w:b/>
        <w:color w:val="262626"/>
        <w:sz w:val="14"/>
        <w:szCs w:val="14"/>
      </w:rPr>
      <w:t xml:space="preserve">                                                                                       </w:t>
    </w:r>
  </w:p>
  <w:tbl>
    <w:tblPr>
      <w:tblStyle w:val="a2"/>
      <w:tblW w:w="8828" w:type="dxa"/>
      <w:tblInd w:w="-142" w:type="dxa"/>
      <w:tblLayout w:type="fixed"/>
      <w:tblLook w:val="0400" w:firstRow="0" w:lastRow="0" w:firstColumn="0" w:lastColumn="0" w:noHBand="0" w:noVBand="1"/>
    </w:tblPr>
    <w:tblGrid>
      <w:gridCol w:w="3390"/>
      <w:gridCol w:w="5438"/>
    </w:tblGrid>
    <w:tr w:rsidR="00CB693E">
      <w:tc>
        <w:tcPr>
          <w:tcW w:w="3390" w:type="dxa"/>
          <w:shd w:val="clear" w:color="auto" w:fill="auto"/>
          <w:vAlign w:val="center"/>
        </w:tcPr>
        <w:p w:rsidR="00CB693E" w:rsidRDefault="00E21F8A">
          <w:pPr>
            <w:pBdr>
              <w:top w:val="nil"/>
              <w:left w:val="nil"/>
              <w:bottom w:val="nil"/>
              <w:right w:val="nil"/>
              <w:between w:val="nil"/>
            </w:pBdr>
            <w:rPr>
              <w:rFonts w:ascii="Arial" w:eastAsia="Arial" w:hAnsi="Arial" w:cs="Arial"/>
              <w:color w:val="000000"/>
              <w:sz w:val="12"/>
              <w:szCs w:val="12"/>
            </w:rPr>
          </w:pPr>
          <w:r>
            <w:rPr>
              <w:rFonts w:ascii="Arial" w:eastAsia="Arial" w:hAnsi="Arial" w:cs="Arial"/>
              <w:color w:val="000000"/>
              <w:sz w:val="12"/>
              <w:szCs w:val="12"/>
            </w:rPr>
            <w:t>Av. Calle 26 # 69 D-91 Torre 1, Piso 9°</w:t>
          </w:r>
        </w:p>
        <w:p w:rsidR="00CB693E" w:rsidRDefault="00E21F8A">
          <w:pPr>
            <w:pBdr>
              <w:top w:val="nil"/>
              <w:left w:val="nil"/>
              <w:bottom w:val="nil"/>
              <w:right w:val="nil"/>
              <w:between w:val="nil"/>
            </w:pBdr>
            <w:rPr>
              <w:rFonts w:ascii="Arial" w:eastAsia="Arial" w:hAnsi="Arial" w:cs="Arial"/>
              <w:color w:val="000000"/>
              <w:sz w:val="12"/>
              <w:szCs w:val="12"/>
            </w:rPr>
          </w:pPr>
          <w:r>
            <w:rPr>
              <w:rFonts w:ascii="Arial" w:eastAsia="Arial" w:hAnsi="Arial" w:cs="Arial"/>
              <w:color w:val="000000"/>
              <w:sz w:val="12"/>
              <w:szCs w:val="12"/>
            </w:rPr>
            <w:t>Bogotá D.C. Colo</w:t>
          </w:r>
          <w:r>
            <w:rPr>
              <w:rFonts w:ascii="Arial" w:eastAsia="Arial" w:hAnsi="Arial" w:cs="Arial"/>
              <w:color w:val="000000"/>
              <w:sz w:val="12"/>
              <w:szCs w:val="12"/>
            </w:rPr>
            <w:t>mbia</w:t>
          </w:r>
        </w:p>
        <w:p w:rsidR="00CB693E" w:rsidRDefault="00E21F8A">
          <w:pPr>
            <w:pBdr>
              <w:top w:val="nil"/>
              <w:left w:val="nil"/>
              <w:bottom w:val="nil"/>
              <w:right w:val="nil"/>
              <w:between w:val="nil"/>
            </w:pBdr>
            <w:rPr>
              <w:rFonts w:ascii="Arial" w:eastAsia="Arial" w:hAnsi="Arial" w:cs="Arial"/>
              <w:color w:val="000000"/>
              <w:sz w:val="12"/>
              <w:szCs w:val="12"/>
            </w:rPr>
          </w:pPr>
          <w:r>
            <w:rPr>
              <w:rFonts w:ascii="Arial" w:eastAsia="Arial" w:hAnsi="Arial" w:cs="Arial"/>
              <w:color w:val="000000"/>
              <w:sz w:val="12"/>
              <w:szCs w:val="12"/>
            </w:rPr>
            <w:t>PBX: +57 601 222 06 01</w:t>
          </w:r>
        </w:p>
        <w:p w:rsidR="00CB693E" w:rsidRDefault="00E21F8A">
          <w:pPr>
            <w:pBdr>
              <w:top w:val="nil"/>
              <w:left w:val="nil"/>
              <w:bottom w:val="nil"/>
              <w:right w:val="nil"/>
              <w:between w:val="nil"/>
            </w:pBdr>
            <w:rPr>
              <w:rFonts w:ascii="Arial" w:eastAsia="Arial" w:hAnsi="Arial" w:cs="Arial"/>
              <w:color w:val="000000"/>
              <w:sz w:val="12"/>
              <w:szCs w:val="12"/>
            </w:rPr>
          </w:pPr>
          <w:r>
            <w:rPr>
              <w:rFonts w:ascii="Arial" w:eastAsia="Arial" w:hAnsi="Arial" w:cs="Arial"/>
              <w:color w:val="000000"/>
              <w:sz w:val="12"/>
              <w:szCs w:val="12"/>
            </w:rPr>
            <w:t>Línea Gratuita Nacional: 01 8000 91 17 29</w:t>
          </w:r>
        </w:p>
        <w:p w:rsidR="00CB693E" w:rsidRDefault="00E21F8A">
          <w:pPr>
            <w:pBdr>
              <w:top w:val="nil"/>
              <w:left w:val="nil"/>
              <w:bottom w:val="nil"/>
              <w:right w:val="nil"/>
              <w:between w:val="nil"/>
            </w:pBdr>
            <w:ind w:firstLine="14"/>
            <w:rPr>
              <w:color w:val="000000"/>
            </w:rPr>
          </w:pPr>
          <w:r>
            <w:rPr>
              <w:rFonts w:ascii="Arial" w:eastAsia="Arial" w:hAnsi="Arial" w:cs="Arial"/>
              <w:color w:val="000000"/>
              <w:sz w:val="12"/>
              <w:szCs w:val="12"/>
            </w:rPr>
            <w:t>http://www.upme.gov.co</w:t>
          </w:r>
        </w:p>
      </w:tc>
      <w:tc>
        <w:tcPr>
          <w:tcW w:w="5438" w:type="dxa"/>
          <w:shd w:val="clear" w:color="auto" w:fill="auto"/>
        </w:tcPr>
        <w:p w:rsidR="00CB693E" w:rsidRDefault="00E21F8A">
          <w:pPr>
            <w:pBdr>
              <w:top w:val="nil"/>
              <w:left w:val="nil"/>
              <w:bottom w:val="nil"/>
              <w:right w:val="nil"/>
              <w:between w:val="nil"/>
            </w:pBdr>
            <w:tabs>
              <w:tab w:val="center" w:pos="4419"/>
              <w:tab w:val="right" w:pos="8838"/>
            </w:tabs>
            <w:ind w:left="-108" w:right="-59"/>
            <w:jc w:val="right"/>
            <w:rPr>
              <w:rFonts w:ascii="Calibri" w:eastAsia="Calibri" w:hAnsi="Calibri" w:cs="Calibri"/>
              <w:color w:val="000000"/>
              <w:sz w:val="22"/>
              <w:szCs w:val="22"/>
            </w:rPr>
          </w:pPr>
          <w:r>
            <w:rPr>
              <w:noProof/>
              <w:lang w:val="es-CO"/>
            </w:rPr>
            <w:drawing>
              <wp:anchor distT="0" distB="0" distL="114300" distR="114300" simplePos="0" relativeHeight="251658240" behindDoc="0" locked="0" layoutInCell="1" hidden="0" allowOverlap="1">
                <wp:simplePos x="0" y="0"/>
                <wp:positionH relativeFrom="column">
                  <wp:posOffset>310736</wp:posOffset>
                </wp:positionH>
                <wp:positionV relativeFrom="paragraph">
                  <wp:posOffset>-20042</wp:posOffset>
                </wp:positionV>
                <wp:extent cx="3170494" cy="504825"/>
                <wp:effectExtent l="0" t="0" r="0" b="0"/>
                <wp:wrapNone/>
                <wp:docPr id="173694609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170494" cy="504825"/>
                        </a:xfrm>
                        <a:prstGeom prst="rect">
                          <a:avLst/>
                        </a:prstGeom>
                        <a:ln/>
                      </pic:spPr>
                    </pic:pic>
                  </a:graphicData>
                </a:graphic>
              </wp:anchor>
            </w:drawing>
          </w:r>
        </w:p>
      </w:tc>
    </w:tr>
  </w:tbl>
  <w:p w:rsidR="00CB693E" w:rsidRDefault="00CB693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F8A" w:rsidRDefault="00E21F8A">
      <w:r>
        <w:separator/>
      </w:r>
    </w:p>
  </w:footnote>
  <w:footnote w:type="continuationSeparator" w:id="0">
    <w:p w:rsidR="00E21F8A" w:rsidRDefault="00E21F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3E" w:rsidRDefault="00CB693E">
    <w:pPr>
      <w:widowControl w:val="0"/>
      <w:pBdr>
        <w:top w:val="nil"/>
        <w:left w:val="nil"/>
        <w:bottom w:val="nil"/>
        <w:right w:val="nil"/>
        <w:between w:val="nil"/>
      </w:pBdr>
      <w:spacing w:line="276" w:lineRule="auto"/>
      <w:rPr>
        <w:color w:val="000000"/>
      </w:rPr>
    </w:pPr>
  </w:p>
  <w:tbl>
    <w:tblPr>
      <w:tblStyle w:val="a1"/>
      <w:tblW w:w="8838" w:type="dxa"/>
      <w:tblInd w:w="0" w:type="dxa"/>
      <w:tblLayout w:type="fixed"/>
      <w:tblLook w:val="0400" w:firstRow="0" w:lastRow="0" w:firstColumn="0" w:lastColumn="0" w:noHBand="0" w:noVBand="1"/>
    </w:tblPr>
    <w:tblGrid>
      <w:gridCol w:w="2827"/>
      <w:gridCol w:w="1427"/>
      <w:gridCol w:w="2292"/>
      <w:gridCol w:w="2292"/>
    </w:tblGrid>
    <w:tr w:rsidR="00CB693E">
      <w:tc>
        <w:tcPr>
          <w:tcW w:w="2827" w:type="dxa"/>
        </w:tcPr>
        <w:p w:rsidR="00CB693E" w:rsidRDefault="00E21F8A">
          <w:pPr>
            <w:pBdr>
              <w:top w:val="nil"/>
              <w:left w:val="nil"/>
              <w:bottom w:val="nil"/>
              <w:right w:val="nil"/>
              <w:between w:val="nil"/>
            </w:pBdr>
            <w:tabs>
              <w:tab w:val="center" w:pos="4419"/>
              <w:tab w:val="right" w:pos="8838"/>
            </w:tabs>
            <w:rPr>
              <w:color w:val="000000"/>
            </w:rPr>
          </w:pPr>
          <w:r>
            <w:rPr>
              <w:rFonts w:ascii="Arial" w:eastAsia="Arial" w:hAnsi="Arial" w:cs="Arial"/>
              <w:color w:val="000000"/>
            </w:rPr>
            <w:t xml:space="preserve"> </w:t>
          </w:r>
          <w:r>
            <w:rPr>
              <w:rFonts w:ascii="Arial" w:eastAsia="Arial" w:hAnsi="Arial" w:cs="Arial"/>
              <w:noProof/>
              <w:color w:val="000000"/>
              <w:lang w:val="es-CO"/>
            </w:rPr>
            <w:drawing>
              <wp:inline distT="0" distB="0" distL="0" distR="0">
                <wp:extent cx="1413477" cy="788470"/>
                <wp:effectExtent l="0" t="0" r="0" b="0"/>
                <wp:docPr id="1736946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13477" cy="788470"/>
                        </a:xfrm>
                        <a:prstGeom prst="rect">
                          <a:avLst/>
                        </a:prstGeom>
                        <a:ln/>
                      </pic:spPr>
                    </pic:pic>
                  </a:graphicData>
                </a:graphic>
              </wp:inline>
            </w:drawing>
          </w:r>
          <w:r>
            <w:rPr>
              <w:rFonts w:ascii="Arial" w:eastAsia="Arial" w:hAnsi="Arial" w:cs="Arial"/>
              <w:color w:val="000000"/>
            </w:rPr>
            <w:t xml:space="preserve">                                                                                                                                         </w:t>
          </w:r>
        </w:p>
      </w:tc>
      <w:tc>
        <w:tcPr>
          <w:tcW w:w="1427" w:type="dxa"/>
        </w:tcPr>
        <w:p w:rsidR="00CB693E" w:rsidRDefault="00CB693E">
          <w:pPr>
            <w:pBdr>
              <w:top w:val="nil"/>
              <w:left w:val="nil"/>
              <w:bottom w:val="nil"/>
              <w:right w:val="nil"/>
              <w:between w:val="nil"/>
            </w:pBdr>
            <w:tabs>
              <w:tab w:val="center" w:pos="4419"/>
              <w:tab w:val="right" w:pos="8838"/>
            </w:tabs>
            <w:rPr>
              <w:color w:val="000000"/>
            </w:rPr>
          </w:pPr>
        </w:p>
      </w:tc>
      <w:tc>
        <w:tcPr>
          <w:tcW w:w="2292" w:type="dxa"/>
          <w:vAlign w:val="center"/>
        </w:tcPr>
        <w:p w:rsidR="00CB693E" w:rsidRDefault="00CB693E">
          <w:pPr>
            <w:pBdr>
              <w:top w:val="nil"/>
              <w:left w:val="nil"/>
              <w:bottom w:val="nil"/>
              <w:right w:val="nil"/>
              <w:between w:val="nil"/>
            </w:pBdr>
            <w:tabs>
              <w:tab w:val="center" w:pos="4419"/>
              <w:tab w:val="right" w:pos="8838"/>
            </w:tabs>
            <w:jc w:val="right"/>
            <w:rPr>
              <w:color w:val="000000"/>
            </w:rPr>
          </w:pPr>
        </w:p>
      </w:tc>
      <w:tc>
        <w:tcPr>
          <w:tcW w:w="2292" w:type="dxa"/>
        </w:tcPr>
        <w:p w:rsidR="00CB693E" w:rsidRDefault="00CB693E">
          <w:pPr>
            <w:pBdr>
              <w:top w:val="nil"/>
              <w:left w:val="nil"/>
              <w:bottom w:val="nil"/>
              <w:right w:val="nil"/>
              <w:between w:val="nil"/>
            </w:pBdr>
            <w:tabs>
              <w:tab w:val="center" w:pos="4419"/>
              <w:tab w:val="right" w:pos="8838"/>
            </w:tabs>
            <w:jc w:val="right"/>
            <w:rPr>
              <w:color w:val="000000"/>
            </w:rPr>
          </w:pPr>
        </w:p>
      </w:tc>
    </w:tr>
  </w:tbl>
  <w:p w:rsidR="00CB693E" w:rsidRDefault="00E21F8A">
    <w:pPr>
      <w:pBdr>
        <w:top w:val="nil"/>
        <w:left w:val="nil"/>
        <w:bottom w:val="nil"/>
        <w:right w:val="nil"/>
        <w:between w:val="nil"/>
      </w:pBdr>
      <w:jc w:val="center"/>
      <w:rPr>
        <w:color w:val="000000"/>
      </w:rPr>
    </w:pPr>
    <w:r>
      <w:rPr>
        <w:rFonts w:ascii="Arial" w:eastAsia="Arial" w:hAnsi="Arial" w:cs="Arial"/>
        <w:b/>
        <w:color w:val="000000"/>
        <w:sz w:val="24"/>
        <w:szCs w:val="24"/>
      </w:rPr>
      <w:t>CAPT NO. 199</w:t>
    </w:r>
  </w:p>
  <w:p w:rsidR="00CB693E" w:rsidRDefault="00CB693E">
    <w:pPr>
      <w:pBdr>
        <w:top w:val="nil"/>
        <w:left w:val="nil"/>
        <w:bottom w:val="nil"/>
        <w:right w:val="nil"/>
        <w:between w:val="nil"/>
      </w:pBdr>
      <w:jc w:val="center"/>
      <w:rPr>
        <w:rFonts w:ascii="Arial" w:eastAsia="Arial" w:hAnsi="Arial" w:cs="Arial"/>
        <w:b/>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C1D"/>
    <w:multiLevelType w:val="multilevel"/>
    <w:tmpl w:val="17B4DC1A"/>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E6150C6"/>
    <w:multiLevelType w:val="multilevel"/>
    <w:tmpl w:val="F2E0F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9C3EF8"/>
    <w:multiLevelType w:val="multilevel"/>
    <w:tmpl w:val="D7AA1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CB4752"/>
    <w:multiLevelType w:val="multilevel"/>
    <w:tmpl w:val="D3A27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221560"/>
    <w:multiLevelType w:val="multilevel"/>
    <w:tmpl w:val="7FBA9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6AE7FEF"/>
    <w:multiLevelType w:val="multilevel"/>
    <w:tmpl w:val="943649DE"/>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6271DE"/>
    <w:multiLevelType w:val="multilevel"/>
    <w:tmpl w:val="46A6C96A"/>
    <w:lvl w:ilvl="0">
      <w:start w:val="1"/>
      <w:numFmt w:val="decimal"/>
      <w:lvlText w:val="%1."/>
      <w:lvlJc w:val="left"/>
      <w:pPr>
        <w:ind w:left="2062" w:hanging="360"/>
      </w:pPr>
      <w:rPr>
        <w:b/>
      </w:r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7" w15:restartNumberingAfterBreak="0">
    <w:nsid w:val="3C583B4A"/>
    <w:multiLevelType w:val="multilevel"/>
    <w:tmpl w:val="84624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13E274A"/>
    <w:multiLevelType w:val="multilevel"/>
    <w:tmpl w:val="F8A68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80B7EF2"/>
    <w:multiLevelType w:val="multilevel"/>
    <w:tmpl w:val="BC7A1F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9C3900"/>
    <w:multiLevelType w:val="multilevel"/>
    <w:tmpl w:val="FF98F52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BF5041"/>
    <w:multiLevelType w:val="multilevel"/>
    <w:tmpl w:val="0F2C4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6231875"/>
    <w:multiLevelType w:val="multilevel"/>
    <w:tmpl w:val="06FE9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3B24E2"/>
    <w:multiLevelType w:val="multilevel"/>
    <w:tmpl w:val="70503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6"/>
  </w:num>
  <w:num w:numId="4">
    <w:abstractNumId w:val="9"/>
  </w:num>
  <w:num w:numId="5">
    <w:abstractNumId w:val="12"/>
  </w:num>
  <w:num w:numId="6">
    <w:abstractNumId w:val="1"/>
  </w:num>
  <w:num w:numId="7">
    <w:abstractNumId w:val="8"/>
  </w:num>
  <w:num w:numId="8">
    <w:abstractNumId w:val="4"/>
  </w:num>
  <w:num w:numId="9">
    <w:abstractNumId w:val="13"/>
  </w:num>
  <w:num w:numId="10">
    <w:abstractNumId w:val="3"/>
  </w:num>
  <w:num w:numId="11">
    <w:abstractNumId w:val="0"/>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3E"/>
    <w:rsid w:val="00797606"/>
    <w:rsid w:val="00CB693E"/>
    <w:rsid w:val="00E21F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DE7A"/>
  <w15:docId w15:val="{E4492230-3AEB-46B8-9F65-B7651C70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LO-normal"/>
    <w:next w:val="LO-normal"/>
    <w:uiPriority w:val="9"/>
    <w:qFormat/>
    <w:pPr>
      <w:keepNext/>
      <w:keepLines/>
      <w:spacing w:before="480" w:after="120"/>
      <w:outlineLvl w:val="0"/>
    </w:pPr>
    <w:rPr>
      <w:b/>
      <w:sz w:val="48"/>
      <w:szCs w:val="48"/>
    </w:rPr>
  </w:style>
  <w:style w:type="paragraph" w:styleId="Ttulo2">
    <w:name w:val="heading 2"/>
    <w:basedOn w:val="LO-normal"/>
    <w:next w:val="LO-normal"/>
    <w:uiPriority w:val="9"/>
    <w:semiHidden/>
    <w:unhideWhenUsed/>
    <w:qFormat/>
    <w:pPr>
      <w:keepNext/>
      <w:keepLines/>
      <w:spacing w:before="360" w:after="80"/>
      <w:outlineLvl w:val="1"/>
    </w:pPr>
    <w:rPr>
      <w:b/>
      <w:sz w:val="36"/>
      <w:szCs w:val="36"/>
    </w:rPr>
  </w:style>
  <w:style w:type="paragraph" w:styleId="Ttulo3">
    <w:name w:val="heading 3"/>
    <w:basedOn w:val="LO-normal"/>
    <w:next w:val="LO-normal"/>
    <w:uiPriority w:val="9"/>
    <w:semiHidden/>
    <w:unhideWhenUsed/>
    <w:qFormat/>
    <w:pPr>
      <w:keepNext/>
      <w:keepLines/>
      <w:spacing w:before="280" w:after="80"/>
      <w:outlineLvl w:val="2"/>
    </w:pPr>
    <w:rPr>
      <w:b/>
      <w:sz w:val="28"/>
      <w:szCs w:val="28"/>
    </w:rPr>
  </w:style>
  <w:style w:type="paragraph" w:styleId="Ttulo4">
    <w:name w:val="heading 4"/>
    <w:basedOn w:val="LO-normal"/>
    <w:next w:val="LO-normal"/>
    <w:uiPriority w:val="9"/>
    <w:semiHidden/>
    <w:unhideWhenUsed/>
    <w:qFormat/>
    <w:pPr>
      <w:keepNext/>
      <w:keepLines/>
      <w:spacing w:before="240" w:after="40"/>
      <w:outlineLvl w:val="3"/>
    </w:pPr>
    <w:rPr>
      <w:b/>
      <w:sz w:val="24"/>
      <w:szCs w:val="24"/>
    </w:rPr>
  </w:style>
  <w:style w:type="paragraph" w:styleId="Ttulo5">
    <w:name w:val="heading 5"/>
    <w:basedOn w:val="LO-normal"/>
    <w:next w:val="LO-normal"/>
    <w:uiPriority w:val="9"/>
    <w:semiHidden/>
    <w:unhideWhenUsed/>
    <w:qFormat/>
    <w:pPr>
      <w:keepNext/>
      <w:keepLines/>
      <w:spacing w:before="220" w:after="40"/>
      <w:outlineLvl w:val="4"/>
    </w:pPr>
    <w:rPr>
      <w:b/>
      <w:sz w:val="22"/>
      <w:szCs w:val="22"/>
    </w:rPr>
  </w:style>
  <w:style w:type="paragraph" w:styleId="Ttulo6">
    <w:name w:val="heading 6"/>
    <w:basedOn w:val="LO-normal"/>
    <w:next w:val="LO-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Textoindependient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EnlacedeInternet">
    <w:name w:val="Enlace de Internet"/>
    <w:rPr>
      <w:color w:val="000080"/>
      <w:u w:val="single"/>
    </w:rPr>
  </w:style>
  <w:style w:type="character" w:customStyle="1" w:styleId="PiedepginaCar">
    <w:name w:val="Pie de página Car"/>
    <w:basedOn w:val="Fuentedeprrafopredeter"/>
    <w:link w:val="Piedepgina"/>
    <w:uiPriority w:val="99"/>
    <w:qFormat/>
    <w:rsid w:val="00586B13"/>
  </w:style>
  <w:style w:type="paragraph" w:customStyle="1" w:styleId="Ttulo10">
    <w:name w:val="Título1"/>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LO-normal">
    <w:name w:val="LO-normal"/>
    <w:qFormat/>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link w:val="PiedepginaCar"/>
    <w:uiPriority w:val="99"/>
  </w:style>
  <w:style w:type="paragraph" w:customStyle="1" w:styleId="Sinespaciado1">
    <w:name w:val="Sin espaciado1"/>
    <w:qFormat/>
    <w:pPr>
      <w:keepNext/>
      <w:spacing w:after="200" w:line="100" w:lineRule="atLeast"/>
      <w:jc w:val="both"/>
    </w:pPr>
    <w:rPr>
      <w:color w:val="00000A"/>
      <w:sz w:val="24"/>
      <w:lang w:eastAsia="en-US"/>
    </w:rPr>
  </w:style>
  <w:style w:type="table" w:customStyle="1" w:styleId="TableNormal1">
    <w:name w:val="Table Normal"/>
    <w:tblPr>
      <w:tblCellMar>
        <w:top w:w="0" w:type="dxa"/>
        <w:left w:w="0" w:type="dxa"/>
        <w:bottom w:w="0" w:type="dxa"/>
        <w:right w:w="0" w:type="dxa"/>
      </w:tblCellMar>
    </w:tblPr>
  </w:style>
  <w:style w:type="paragraph" w:customStyle="1" w:styleId="Encabezamiento">
    <w:name w:val="Encabezamiento"/>
    <w:basedOn w:val="Normal"/>
    <w:unhideWhenUsed/>
    <w:rsid w:val="00831212"/>
    <w:pPr>
      <w:tabs>
        <w:tab w:val="center" w:pos="4419"/>
        <w:tab w:val="right" w:pos="8838"/>
      </w:tabs>
    </w:pPr>
    <w:rPr>
      <w:rFonts w:ascii="Calibri" w:eastAsia="Calibri" w:hAnsi="Calibri"/>
      <w:sz w:val="22"/>
      <w:szCs w:val="22"/>
      <w:lang w:val="es-CO" w:eastAsia="en-US"/>
    </w:rPr>
  </w:style>
  <w:style w:type="paragraph" w:styleId="NormalWeb">
    <w:name w:val="Normal (Web)"/>
    <w:basedOn w:val="Normal"/>
    <w:uiPriority w:val="99"/>
    <w:semiHidden/>
    <w:unhideWhenUsed/>
    <w:rsid w:val="000E28B0"/>
    <w:pPr>
      <w:spacing w:before="100" w:beforeAutospacing="1" w:after="100" w:afterAutospacing="1"/>
    </w:pPr>
    <w:rPr>
      <w:sz w:val="24"/>
      <w:szCs w:val="24"/>
      <w:lang w:val="es-CO"/>
    </w:rPr>
  </w:style>
  <w:style w:type="paragraph" w:styleId="Prrafodelista">
    <w:name w:val="List Paragraph"/>
    <w:basedOn w:val="Normal"/>
    <w:uiPriority w:val="34"/>
    <w:qFormat/>
    <w:rsid w:val="000E28B0"/>
    <w:pPr>
      <w:ind w:left="720"/>
      <w:contextualSpacing/>
    </w:pPr>
    <w:rPr>
      <w:rFonts w:cs="Mangal"/>
      <w:szCs w:val="1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71A2F59FBA9AD43B0C222357A9D88E0" ma:contentTypeVersion="0" ma:contentTypeDescription="Crear nuevo documento." ma:contentTypeScope="" ma:versionID="acf0c892f4348f3924e7b63c7d2f04e6">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u897oVltdYFVuoDHgQgQLC6RYw==">CgMxLjAyCGguZ2pkZ3hzMgloLjFmb2I5dGUyCWguM3pueXNoNzIJaC4yZXQ5MnAwMghoLnR5amN3dDIJaC4zZHk2dmttMgloLjF0M2g1c2YyCWguNGQzNG9nODIJaC4yczhleW8xMgloLjE3ZHA4dnUyCWguM3JkY3JqbjIJaC4zMGowemxsOAByITEtMmVyTG5rNTNoYjVOTmJGcnFwbHZ6Y0NKZEZXQVUtNA==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DBDE9-EDAB-447C-B011-E58C5E1345FE}"/>
</file>

<file path=customXml/itemProps2.xml><?xml version="1.0" encoding="utf-8"?>
<ds:datastoreItem xmlns:ds="http://schemas.openxmlformats.org/officeDocument/2006/customXml" ds:itemID="{C2BDE5BA-D38E-4A13-9E4C-8C86A87A911F}"/>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96E6302A-DDFA-4B02-8F84-23C343086D36}"/>
</file>

<file path=docProps/app.xml><?xml version="1.0" encoding="utf-8"?>
<Properties xmlns="http://schemas.openxmlformats.org/officeDocument/2006/extended-properties" xmlns:vt="http://schemas.openxmlformats.org/officeDocument/2006/docPropsVTypes">
  <Template>Normal</Template>
  <TotalTime>2</TotalTime>
  <Pages>18</Pages>
  <Words>6187</Words>
  <Characters>34031</Characters>
  <Application>Microsoft Office Word</Application>
  <DocSecurity>0</DocSecurity>
  <Lines>283</Lines>
  <Paragraphs>80</Paragraphs>
  <ScaleCrop>false</ScaleCrop>
  <Company/>
  <LinksUpToDate>false</LinksUpToDate>
  <CharactersWithSpaces>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Gabriel Ortiz Zapata</dc:creator>
  <cp:lastModifiedBy>Diana Marcela Montaña Silva</cp:lastModifiedBy>
  <cp:revision>2</cp:revision>
  <dcterms:created xsi:type="dcterms:W3CDTF">2023-08-17T22:01:00Z</dcterms:created>
  <dcterms:modified xsi:type="dcterms:W3CDTF">2024-02-13T15:28:00Z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0x010100471A2F59FBA9AD43B0C222357A9D88E0</vt:lpwstr>
  </property>
</Properties>
</file>