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A8B1" w14:textId="77777777" w:rsidR="004B2136" w:rsidRDefault="00441B60">
      <w:pPr>
        <w:widowControl w:val="0"/>
        <w:pBdr>
          <w:top w:val="nil"/>
          <w:left w:val="nil"/>
          <w:bottom w:val="nil"/>
          <w:right w:val="nil"/>
          <w:between w:val="nil"/>
        </w:pBdr>
        <w:spacing w:line="276" w:lineRule="auto"/>
      </w:pPr>
      <w:r>
        <w:pict w14:anchorId="595CC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7728;visibility:hidden">
            <o:lock v:ext="edit" selection="t"/>
          </v:shape>
        </w:pict>
      </w:r>
      <w:r>
        <w:pict w14:anchorId="578A08AE">
          <v:shape id="_x0000_s1028" type="#_x0000_t136" style="position:absolute;margin-left:0;margin-top:0;width:50pt;height:50pt;z-index:251658752;visibility:hidden">
            <o:lock v:ext="edit" selection="t"/>
          </v:shape>
        </w:pict>
      </w:r>
      <w:r>
        <w:pict w14:anchorId="657BD187">
          <v:shape id="_x0000_s1027" type="#_x0000_t136" style="position:absolute;margin-left:0;margin-top:0;width:50pt;height:50pt;z-index:251659776;visibility:hidden">
            <o:lock v:ext="edit" selection="t"/>
          </v:shape>
        </w:pict>
      </w:r>
      <w:r>
        <w:pict w14:anchorId="5A220B79">
          <v:shape id="_x0000_s1026" type="#_x0000_t136" style="position:absolute;margin-left:0;margin-top:0;width:50pt;height:50pt;z-index:251660800;visibility:hidden">
            <o:lock v:ext="edit" selection="t"/>
          </v:shape>
        </w:pict>
      </w:r>
    </w:p>
    <w:p w14:paraId="353E81FE" w14:textId="77777777" w:rsidR="004B2136" w:rsidRDefault="001675E9">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54656" behindDoc="0" locked="0" layoutInCell="1" hidden="0" allowOverlap="1" wp14:anchorId="671EFC38" wp14:editId="2ABED353">
                <wp:simplePos x="0" y="0"/>
                <wp:positionH relativeFrom="column">
                  <wp:posOffset>114300</wp:posOffset>
                </wp:positionH>
                <wp:positionV relativeFrom="paragraph">
                  <wp:posOffset>0</wp:posOffset>
                </wp:positionV>
                <wp:extent cx="647700" cy="647700"/>
                <wp:effectExtent l="0" t="0" r="0" b="0"/>
                <wp:wrapNone/>
                <wp:docPr id="20" name="Forma libre: forma 20"/>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5680" behindDoc="0" locked="0" layoutInCell="1" hidden="0" allowOverlap="1" wp14:anchorId="75BDEEF7" wp14:editId="12857571">
                <wp:simplePos x="0" y="0"/>
                <wp:positionH relativeFrom="column">
                  <wp:posOffset>114300</wp:posOffset>
                </wp:positionH>
                <wp:positionV relativeFrom="paragraph">
                  <wp:posOffset>0</wp:posOffset>
                </wp:positionV>
                <wp:extent cx="647700" cy="647700"/>
                <wp:effectExtent l="0" t="0" r="0" b="0"/>
                <wp:wrapNone/>
                <wp:docPr id="23" name="Forma libre: forma 23"/>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6704" behindDoc="0" locked="0" layoutInCell="1" hidden="0" allowOverlap="1" wp14:anchorId="24F71F55" wp14:editId="3779CAF5">
                <wp:simplePos x="0" y="0"/>
                <wp:positionH relativeFrom="column">
                  <wp:posOffset>114300</wp:posOffset>
                </wp:positionH>
                <wp:positionV relativeFrom="paragraph">
                  <wp:posOffset>0</wp:posOffset>
                </wp:positionV>
                <wp:extent cx="647700" cy="647700"/>
                <wp:effectExtent l="0" t="0" r="0" b="0"/>
                <wp:wrapNone/>
                <wp:docPr id="22" name="Forma libre: forma 22"/>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47700" cy="647700"/>
                        </a:xfrm>
                        <a:prstGeom prst="rect"/>
                        <a:ln/>
                      </pic:spPr>
                    </pic:pic>
                  </a:graphicData>
                </a:graphic>
              </wp:anchor>
            </w:drawing>
          </mc:Fallback>
        </mc:AlternateContent>
      </w:r>
    </w:p>
    <w:p w14:paraId="3A0DB222" w14:textId="77777777" w:rsidR="004B2136" w:rsidRDefault="001675E9">
      <w:pPr>
        <w:jc w:val="center"/>
        <w:rPr>
          <w:rFonts w:ascii="Arial" w:eastAsia="Arial" w:hAnsi="Arial" w:cs="Arial"/>
          <w:b/>
          <w:sz w:val="22"/>
          <w:szCs w:val="22"/>
        </w:rPr>
      </w:pPr>
      <w:r>
        <w:rPr>
          <w:rFonts w:ascii="Arial" w:eastAsia="Arial" w:hAnsi="Arial" w:cs="Arial"/>
          <w:b/>
          <w:sz w:val="22"/>
          <w:szCs w:val="22"/>
        </w:rPr>
        <w:t>EL DIRECTOR GENERAL DE LA UNIDAD DE PLANEACIÓN MINERO ENERGÉTICA - UPME</w:t>
      </w:r>
    </w:p>
    <w:p w14:paraId="3A77996B" w14:textId="77777777" w:rsidR="004B2136" w:rsidRDefault="004B2136">
      <w:pPr>
        <w:jc w:val="center"/>
        <w:rPr>
          <w:rFonts w:ascii="Arial" w:eastAsia="Arial" w:hAnsi="Arial" w:cs="Arial"/>
          <w:b/>
          <w:sz w:val="22"/>
          <w:szCs w:val="22"/>
        </w:rPr>
      </w:pPr>
    </w:p>
    <w:p w14:paraId="19457A43" w14:textId="77777777" w:rsidR="004B2136" w:rsidRDefault="001675E9">
      <w:pPr>
        <w:jc w:val="center"/>
        <w:rPr>
          <w:rFonts w:ascii="Arial" w:eastAsia="Arial" w:hAnsi="Arial" w:cs="Arial"/>
          <w:color w:val="000000"/>
          <w:sz w:val="22"/>
          <w:szCs w:val="22"/>
          <w:u w:val="single"/>
        </w:rPr>
      </w:pPr>
      <w:r>
        <w:rPr>
          <w:rFonts w:ascii="Arial" w:eastAsia="Arial" w:hAnsi="Arial" w:cs="Arial"/>
          <w:sz w:val="22"/>
          <w:szCs w:val="22"/>
        </w:rPr>
        <w:t>En ejercicio de sus facultades legales y, especialmente, las conferidas por el artículo 9° del Decreto 2121 de 2023 y</w:t>
      </w:r>
    </w:p>
    <w:p w14:paraId="19700E65" w14:textId="77777777" w:rsidR="004B2136" w:rsidRDefault="004B2136">
      <w:pPr>
        <w:rPr>
          <w:rFonts w:ascii="Arial" w:eastAsia="Arial" w:hAnsi="Arial" w:cs="Arial"/>
          <w:sz w:val="22"/>
          <w:szCs w:val="22"/>
        </w:rPr>
      </w:pPr>
    </w:p>
    <w:p w14:paraId="7AE4F90D" w14:textId="77777777" w:rsidR="004B2136" w:rsidRDefault="004B2136">
      <w:pPr>
        <w:rPr>
          <w:rFonts w:ascii="Arial" w:eastAsia="Arial" w:hAnsi="Arial" w:cs="Arial"/>
          <w:sz w:val="22"/>
          <w:szCs w:val="22"/>
        </w:rPr>
      </w:pPr>
    </w:p>
    <w:p w14:paraId="3D33690D" w14:textId="77777777" w:rsidR="004B2136" w:rsidRDefault="001675E9">
      <w:pPr>
        <w:pStyle w:val="Ttulo2"/>
        <w:pBdr>
          <w:top w:val="none" w:sz="0" w:space="0" w:color="000000"/>
          <w:left w:val="none" w:sz="0" w:space="0" w:color="000000"/>
          <w:bottom w:val="none" w:sz="0" w:space="0" w:color="000000"/>
          <w:right w:val="none" w:sz="0" w:space="0" w:color="000000"/>
        </w:pBdr>
        <w:rPr>
          <w:rFonts w:ascii="Arial" w:eastAsia="Arial" w:hAnsi="Arial" w:cs="Arial"/>
          <w:sz w:val="22"/>
          <w:szCs w:val="22"/>
        </w:rPr>
      </w:pPr>
      <w:r>
        <w:rPr>
          <w:rFonts w:ascii="Arial" w:eastAsia="Arial" w:hAnsi="Arial" w:cs="Arial"/>
          <w:sz w:val="22"/>
          <w:szCs w:val="22"/>
        </w:rPr>
        <w:t>C O N S I D E R A N D O:</w:t>
      </w:r>
    </w:p>
    <w:p w14:paraId="7851DEFA" w14:textId="77777777" w:rsidR="004B2136" w:rsidRDefault="004B2136">
      <w:pPr>
        <w:tabs>
          <w:tab w:val="left" w:pos="7983"/>
        </w:tabs>
        <w:rPr>
          <w:rFonts w:ascii="Arial" w:eastAsia="Arial" w:hAnsi="Arial" w:cs="Arial"/>
          <w:color w:val="C00000"/>
          <w:sz w:val="22"/>
          <w:szCs w:val="22"/>
        </w:rPr>
      </w:pPr>
    </w:p>
    <w:p w14:paraId="77E4130E" w14:textId="77777777" w:rsidR="004B2136" w:rsidRDefault="001675E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Que de conformidad con el artículo 3 del Decreto 2121 de 2023, la Unidad de Planeación Minero Energética (UPME), tendrá por objeto </w:t>
      </w:r>
      <w:r>
        <w:rPr>
          <w:rFonts w:ascii="Arial" w:eastAsia="Arial" w:hAnsi="Arial" w:cs="Arial"/>
          <w:i/>
          <w:color w:val="000000"/>
          <w:sz w:val="22"/>
          <w:szCs w:val="22"/>
        </w:rPr>
        <w:t>“planear en forma integral, indicativa, permanente y coordinada con los agentes del sector minero energético, el desarrollo y aprovechamiento de los recursos mineros y energéticos; producir y divulgar la información requerida para la formulación de política y toma de decisiones; y apoyar al Ministerio de Minas y Energía en el logro de sus objetivos y metas.”</w:t>
      </w:r>
    </w:p>
    <w:p w14:paraId="03BBF235" w14:textId="77777777" w:rsidR="004B2136" w:rsidRDefault="004B2136">
      <w:pPr>
        <w:pBdr>
          <w:top w:val="nil"/>
          <w:left w:val="nil"/>
          <w:bottom w:val="nil"/>
          <w:right w:val="nil"/>
          <w:between w:val="nil"/>
        </w:pBdr>
        <w:jc w:val="both"/>
        <w:rPr>
          <w:rFonts w:ascii="Arial" w:eastAsia="Arial" w:hAnsi="Arial" w:cs="Arial"/>
          <w:color w:val="000000"/>
          <w:sz w:val="22"/>
          <w:szCs w:val="22"/>
        </w:rPr>
      </w:pPr>
    </w:p>
    <w:p w14:paraId="5C4780F1" w14:textId="77777777" w:rsidR="004B2136" w:rsidRDefault="001675E9">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Que, mediante el artículo 10 de la Ley 2277 de 2022, “</w:t>
      </w:r>
      <w:r>
        <w:rPr>
          <w:rFonts w:ascii="Arial" w:eastAsia="Arial" w:hAnsi="Arial" w:cs="Arial"/>
          <w:i/>
          <w:color w:val="000000"/>
          <w:sz w:val="22"/>
          <w:szCs w:val="22"/>
        </w:rPr>
        <w:t>por medio de la cual se adopta una reforma tributaria para la igualdad y la justicia social y se dictan otras disposiciones</w:t>
      </w:r>
      <w:r>
        <w:rPr>
          <w:rFonts w:ascii="Arial" w:eastAsia="Arial" w:hAnsi="Arial" w:cs="Arial"/>
          <w:color w:val="000000"/>
          <w:sz w:val="22"/>
          <w:szCs w:val="22"/>
        </w:rPr>
        <w:t xml:space="preserve">”, </w:t>
      </w:r>
      <w:r>
        <w:rPr>
          <w:rFonts w:ascii="Arial" w:eastAsia="Arial" w:hAnsi="Arial" w:cs="Arial"/>
          <w:sz w:val="22"/>
          <w:szCs w:val="22"/>
        </w:rPr>
        <w:t>se modificó el artículo 240 del Estatuto Tributario, en lo que tiene que ver con la tarifa general del impuesto sobre la renta para personas jurídicas, así:</w:t>
      </w:r>
    </w:p>
    <w:p w14:paraId="3E2A8567" w14:textId="77777777" w:rsidR="004B2136" w:rsidRDefault="004B2136">
      <w:pPr>
        <w:jc w:val="both"/>
        <w:rPr>
          <w:rFonts w:ascii="Arial" w:eastAsia="Arial" w:hAnsi="Arial" w:cs="Arial"/>
          <w:sz w:val="22"/>
          <w:szCs w:val="22"/>
        </w:rPr>
      </w:pPr>
    </w:p>
    <w:p w14:paraId="004C90D2" w14:textId="77777777" w:rsidR="004B2136" w:rsidRDefault="001675E9">
      <w:pPr>
        <w:ind w:left="567" w:right="567"/>
        <w:jc w:val="both"/>
        <w:rPr>
          <w:rFonts w:ascii="Arial" w:eastAsia="Arial" w:hAnsi="Arial" w:cs="Arial"/>
          <w:i/>
        </w:rPr>
      </w:pPr>
      <w:r>
        <w:rPr>
          <w:rFonts w:ascii="Arial" w:eastAsia="Arial" w:hAnsi="Arial" w:cs="Arial"/>
          <w:b/>
          <w:i/>
        </w:rPr>
        <w:t>“ARTÍCULO 240. TARIFA GENERAL PARA PERSONAS JURÍDICAS.</w:t>
      </w:r>
      <w:r>
        <w:rPr>
          <w:rFonts w:ascii="Arial" w:eastAsia="Arial" w:hAnsi="Arial" w:cs="Arial"/>
          <w:i/>
        </w:rPr>
        <w:t> 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cinco por ciento (35%).</w:t>
      </w:r>
    </w:p>
    <w:p w14:paraId="145C77F2" w14:textId="77777777" w:rsidR="004B2136" w:rsidRDefault="001675E9">
      <w:pPr>
        <w:ind w:left="567" w:right="567"/>
        <w:jc w:val="both"/>
        <w:rPr>
          <w:rFonts w:ascii="Arial" w:eastAsia="Arial" w:hAnsi="Arial" w:cs="Arial"/>
          <w:i/>
        </w:rPr>
      </w:pPr>
      <w:r>
        <w:rPr>
          <w:rFonts w:ascii="Arial" w:eastAsia="Arial" w:hAnsi="Arial" w:cs="Arial"/>
          <w:i/>
        </w:rPr>
        <w:t>(…)”</w:t>
      </w:r>
    </w:p>
    <w:p w14:paraId="3A724679" w14:textId="77777777" w:rsidR="004B2136" w:rsidRDefault="004B2136">
      <w:pPr>
        <w:jc w:val="both"/>
        <w:rPr>
          <w:rFonts w:ascii="Arial" w:eastAsia="Arial" w:hAnsi="Arial" w:cs="Arial"/>
          <w:sz w:val="22"/>
          <w:szCs w:val="22"/>
        </w:rPr>
      </w:pPr>
    </w:p>
    <w:p w14:paraId="4D0663B5" w14:textId="77777777" w:rsidR="004B2136" w:rsidRDefault="001675E9">
      <w:pPr>
        <w:jc w:val="both"/>
        <w:rPr>
          <w:rFonts w:ascii="Arial" w:eastAsia="Arial" w:hAnsi="Arial" w:cs="Arial"/>
          <w:sz w:val="22"/>
          <w:szCs w:val="22"/>
        </w:rPr>
      </w:pPr>
      <w:r>
        <w:rPr>
          <w:rFonts w:ascii="Arial" w:eastAsia="Arial" w:hAnsi="Arial" w:cs="Arial"/>
          <w:sz w:val="22"/>
          <w:szCs w:val="22"/>
        </w:rPr>
        <w:t>Que el parágrafo 3° del artículo 240 del Estatuto Tributario, modificado por el citado artículo 10, establece las actividades económicas que deberán adicionar puntos a la tarifa general del impuesto sobre la renta, a saber:</w:t>
      </w:r>
    </w:p>
    <w:p w14:paraId="092BFB50" w14:textId="77777777" w:rsidR="004B2136" w:rsidRDefault="004B2136">
      <w:pPr>
        <w:jc w:val="both"/>
        <w:rPr>
          <w:rFonts w:ascii="Arial" w:eastAsia="Arial" w:hAnsi="Arial" w:cs="Arial"/>
          <w:sz w:val="22"/>
          <w:szCs w:val="22"/>
        </w:rPr>
      </w:pPr>
    </w:p>
    <w:p w14:paraId="7754D665" w14:textId="77777777" w:rsidR="004B2136" w:rsidRDefault="001675E9">
      <w:pPr>
        <w:ind w:left="567" w:right="567"/>
        <w:jc w:val="both"/>
        <w:rPr>
          <w:rFonts w:ascii="Arial" w:eastAsia="Arial" w:hAnsi="Arial" w:cs="Arial"/>
          <w:i/>
        </w:rPr>
      </w:pPr>
      <w:r>
        <w:rPr>
          <w:rFonts w:ascii="Arial" w:eastAsia="Arial" w:hAnsi="Arial" w:cs="Arial"/>
          <w:i/>
        </w:rPr>
        <w:t>“</w:t>
      </w:r>
      <w:r>
        <w:rPr>
          <w:rFonts w:ascii="Arial" w:eastAsia="Arial" w:hAnsi="Arial" w:cs="Arial"/>
          <w:b/>
          <w:i/>
        </w:rPr>
        <w:t>PARÁGRAFO 3</w:t>
      </w:r>
      <w:r>
        <w:rPr>
          <w:rFonts w:ascii="Arial" w:eastAsia="Arial" w:hAnsi="Arial" w:cs="Arial"/>
          <w:i/>
        </w:rPr>
        <w:t>. Las sociedades nacionales y sus asimiladas, los establecimientos permanentes de entidades del exterior y las personas jurídicas extranjeras con o sin residencia en el país, deberán adicionar a la tarifa general del impuesto sobre la renta unos puntos adicionales, cuando desarrollen alguna o algunas de las siguientes actividades económicas, así:</w:t>
      </w:r>
    </w:p>
    <w:p w14:paraId="0CB1D296" w14:textId="77777777" w:rsidR="004B2136" w:rsidRDefault="004B2136">
      <w:pPr>
        <w:ind w:left="567" w:right="567"/>
        <w:jc w:val="both"/>
        <w:rPr>
          <w:rFonts w:ascii="Arial" w:eastAsia="Arial" w:hAnsi="Arial" w:cs="Arial"/>
          <w:i/>
        </w:rPr>
      </w:pPr>
    </w:p>
    <w:p w14:paraId="1CE87B91" w14:textId="77777777" w:rsidR="004B2136" w:rsidRDefault="001675E9">
      <w:pPr>
        <w:ind w:left="567" w:right="567"/>
        <w:jc w:val="both"/>
        <w:rPr>
          <w:rFonts w:ascii="Arial" w:eastAsia="Arial" w:hAnsi="Arial" w:cs="Arial"/>
          <w:i/>
        </w:rPr>
      </w:pPr>
      <w:r>
        <w:rPr>
          <w:rFonts w:ascii="Arial" w:eastAsia="Arial" w:hAnsi="Arial" w:cs="Arial"/>
          <w:i/>
        </w:rPr>
        <w:t>1. Extracción de hulla (carbón de piedra) CIIU - 0510 y extracción de carbón lignito CIIU -0520, así:</w:t>
      </w:r>
    </w:p>
    <w:p w14:paraId="1DD9308F" w14:textId="77777777" w:rsidR="004B2136" w:rsidRDefault="001675E9">
      <w:pPr>
        <w:ind w:left="567" w:right="567"/>
        <w:jc w:val="center"/>
        <w:rPr>
          <w:rFonts w:ascii="Arial" w:eastAsia="Arial" w:hAnsi="Arial" w:cs="Arial"/>
          <w:i/>
        </w:rPr>
      </w:pPr>
      <w:r>
        <w:rPr>
          <w:rFonts w:ascii="Arial" w:eastAsia="Arial" w:hAnsi="Arial" w:cs="Arial"/>
          <w:i/>
          <w:noProof/>
        </w:rPr>
        <w:lastRenderedPageBreak/>
        <w:drawing>
          <wp:inline distT="0" distB="0" distL="0" distR="0" wp14:anchorId="566BF2FE" wp14:editId="0655D9E3">
            <wp:extent cx="3417412" cy="2740167"/>
            <wp:effectExtent l="0" t="0" r="0" b="0"/>
            <wp:docPr id="25" name="image1.jpg" descr="https://www.funcionpublica.gov.co/eva/gestornormativo/img-normas/ley-2277-2013-tabla3.jpg"/>
            <wp:cNvGraphicFramePr/>
            <a:graphic xmlns:a="http://schemas.openxmlformats.org/drawingml/2006/main">
              <a:graphicData uri="http://schemas.openxmlformats.org/drawingml/2006/picture">
                <pic:pic xmlns:pic="http://schemas.openxmlformats.org/drawingml/2006/picture">
                  <pic:nvPicPr>
                    <pic:cNvPr id="0" name="image1.jpg" descr="https://www.funcionpublica.gov.co/eva/gestornormativo/img-normas/ley-2277-2013-tabla3.jpg"/>
                    <pic:cNvPicPr preferRelativeResize="0"/>
                  </pic:nvPicPr>
                  <pic:blipFill>
                    <a:blip r:embed="rId11"/>
                    <a:srcRect/>
                    <a:stretch>
                      <a:fillRect/>
                    </a:stretch>
                  </pic:blipFill>
                  <pic:spPr>
                    <a:xfrm>
                      <a:off x="0" y="0"/>
                      <a:ext cx="3417412" cy="2740167"/>
                    </a:xfrm>
                    <a:prstGeom prst="rect">
                      <a:avLst/>
                    </a:prstGeom>
                    <a:ln/>
                  </pic:spPr>
                </pic:pic>
              </a:graphicData>
            </a:graphic>
          </wp:inline>
        </w:drawing>
      </w:r>
    </w:p>
    <w:p w14:paraId="3028B158" w14:textId="77777777" w:rsidR="004B2136" w:rsidRDefault="001675E9">
      <w:pPr>
        <w:ind w:left="567" w:right="567"/>
        <w:jc w:val="both"/>
        <w:rPr>
          <w:rFonts w:ascii="Arial" w:eastAsia="Arial" w:hAnsi="Arial" w:cs="Arial"/>
          <w:i/>
        </w:rPr>
      </w:pPr>
      <w:r>
        <w:rPr>
          <w:rFonts w:ascii="Arial" w:eastAsia="Arial" w:hAnsi="Arial" w:cs="Arial"/>
          <w:i/>
        </w:rPr>
        <w:t>(…)”</w:t>
      </w:r>
    </w:p>
    <w:p w14:paraId="24285D2E" w14:textId="77777777" w:rsidR="004B2136" w:rsidRDefault="004B2136">
      <w:pPr>
        <w:ind w:right="567"/>
        <w:jc w:val="both"/>
        <w:rPr>
          <w:rFonts w:ascii="Arial" w:eastAsia="Arial" w:hAnsi="Arial" w:cs="Arial"/>
        </w:rPr>
      </w:pPr>
    </w:p>
    <w:p w14:paraId="3B8B69E1" w14:textId="77777777" w:rsidR="004B2136" w:rsidRDefault="001675E9">
      <w:pPr>
        <w:jc w:val="both"/>
        <w:rPr>
          <w:rFonts w:ascii="Arial" w:eastAsia="Arial" w:hAnsi="Arial" w:cs="Arial"/>
          <w:sz w:val="22"/>
          <w:szCs w:val="22"/>
        </w:rPr>
      </w:pPr>
      <w:bookmarkStart w:id="0" w:name="_heading=h.30j0zll" w:colFirst="0" w:colLast="0"/>
      <w:bookmarkEnd w:id="0"/>
      <w:r>
        <w:rPr>
          <w:rFonts w:ascii="Arial" w:eastAsia="Arial" w:hAnsi="Arial" w:cs="Arial"/>
          <w:sz w:val="22"/>
          <w:szCs w:val="22"/>
        </w:rPr>
        <w:t>Que, a su vez, dicho artículo le otorga la competencia a la Unidad de Planeación Minero Energética - UPME para publicar, mediante resolución, la información correspondiente a los precios promedio del año gravable inmediatamente anterior, así como la tabla de percentiles de precios promedio mensuales, en relación con las actividades económicas de extracción de hulla (carbón de piedra) CIIU - 0510 y extracción de carbón lignito CIIU - 0520, y determina la forma de cálculo de los mismos, en los siguientes términos:</w:t>
      </w:r>
    </w:p>
    <w:p w14:paraId="6E69B11B" w14:textId="77777777" w:rsidR="004B2136" w:rsidRDefault="004B2136">
      <w:pPr>
        <w:jc w:val="both"/>
        <w:rPr>
          <w:rFonts w:ascii="Arial" w:eastAsia="Arial" w:hAnsi="Arial" w:cs="Arial"/>
          <w:sz w:val="22"/>
          <w:szCs w:val="22"/>
        </w:rPr>
      </w:pPr>
    </w:p>
    <w:p w14:paraId="67BC46E0" w14:textId="77777777" w:rsidR="004B2136" w:rsidRDefault="001675E9">
      <w:pPr>
        <w:ind w:left="567" w:right="567"/>
        <w:jc w:val="both"/>
        <w:rPr>
          <w:rFonts w:ascii="Arial" w:eastAsia="Arial" w:hAnsi="Arial" w:cs="Arial"/>
          <w:i/>
        </w:rPr>
      </w:pPr>
      <w:r>
        <w:rPr>
          <w:rFonts w:ascii="Arial" w:eastAsia="Arial" w:hAnsi="Arial" w:cs="Arial"/>
          <w:i/>
        </w:rPr>
        <w:t>“(…)</w:t>
      </w:r>
    </w:p>
    <w:p w14:paraId="3CF7F922" w14:textId="77777777" w:rsidR="004B2136" w:rsidRDefault="004B2136">
      <w:pPr>
        <w:ind w:left="567" w:right="567"/>
        <w:jc w:val="both"/>
        <w:rPr>
          <w:rFonts w:ascii="Arial" w:eastAsia="Arial" w:hAnsi="Arial" w:cs="Arial"/>
          <w:i/>
        </w:rPr>
      </w:pPr>
    </w:p>
    <w:p w14:paraId="101D6D90" w14:textId="77777777" w:rsidR="004B2136" w:rsidRDefault="001675E9">
      <w:pPr>
        <w:ind w:left="567" w:right="567"/>
        <w:jc w:val="both"/>
        <w:rPr>
          <w:rFonts w:ascii="Arial" w:eastAsia="Arial" w:hAnsi="Arial" w:cs="Arial"/>
          <w:i/>
        </w:rPr>
      </w:pPr>
      <w:r>
        <w:rPr>
          <w:rFonts w:ascii="Arial" w:eastAsia="Arial" w:hAnsi="Arial" w:cs="Arial"/>
          <w:i/>
        </w:rPr>
        <w:t>Los precios de la tabla anterior para las actividades económicas extracción de hulla (carbón de piedra) CIIU - 0510 y extracción de carbón lignito CIIU - 0520, corresponderán al precio promedio internacional del carbón de referencia API2, restado por el valor del flete BCI7 (API2 - BCI7) USD/Tonelada, deflactado con el Índice de Precios al Consumidor para todos los consumidores urbanos de los Estados Unidos de América, publicado por la Oficina de Estadísticas Laborales de ese país.</w:t>
      </w:r>
    </w:p>
    <w:p w14:paraId="5400E97B" w14:textId="77777777" w:rsidR="004B2136" w:rsidRDefault="004B2136">
      <w:pPr>
        <w:ind w:left="567" w:right="567"/>
        <w:jc w:val="both"/>
        <w:rPr>
          <w:rFonts w:ascii="Arial" w:eastAsia="Arial" w:hAnsi="Arial" w:cs="Arial"/>
          <w:i/>
        </w:rPr>
      </w:pPr>
    </w:p>
    <w:p w14:paraId="4209E80E" w14:textId="77777777" w:rsidR="004B2136" w:rsidRDefault="001675E9">
      <w:pPr>
        <w:ind w:left="567" w:right="567"/>
        <w:jc w:val="both"/>
        <w:rPr>
          <w:rFonts w:ascii="Arial" w:eastAsia="Arial" w:hAnsi="Arial" w:cs="Arial"/>
          <w:i/>
        </w:rPr>
      </w:pPr>
      <w:r>
        <w:rPr>
          <w:rFonts w:ascii="Arial" w:eastAsia="Arial" w:hAnsi="Arial" w:cs="Arial"/>
          <w:i/>
        </w:rPr>
        <w:t>(…)</w:t>
      </w:r>
    </w:p>
    <w:p w14:paraId="111828CC" w14:textId="77777777" w:rsidR="004B2136" w:rsidRDefault="004B2136">
      <w:pPr>
        <w:ind w:left="567" w:right="567"/>
        <w:jc w:val="both"/>
        <w:rPr>
          <w:rFonts w:ascii="Arial" w:eastAsia="Arial" w:hAnsi="Arial" w:cs="Arial"/>
          <w:i/>
        </w:rPr>
      </w:pPr>
    </w:p>
    <w:p w14:paraId="66E1C710" w14:textId="77777777" w:rsidR="004B2136" w:rsidRDefault="001675E9">
      <w:pPr>
        <w:ind w:left="567" w:right="567"/>
        <w:jc w:val="both"/>
        <w:rPr>
          <w:rFonts w:ascii="Arial" w:eastAsia="Arial" w:hAnsi="Arial" w:cs="Arial"/>
          <w:i/>
        </w:rPr>
      </w:pPr>
      <w:r>
        <w:rPr>
          <w:rFonts w:ascii="Arial" w:eastAsia="Arial" w:hAnsi="Arial" w:cs="Arial"/>
          <w:i/>
        </w:rPr>
        <w:t>Para la aplicación de los puntos adicionales, la Unidad de Planeación Minero Energética, en el caso de las actividades de extracción de hulla (carbón de piedra) CIIU 0510 y extracción de carbón lignito CIIU 0520, (…), publicarán a más tardar, el Último día hábil de enero de cada año, mediante resolución, la información correspondiente a los precios promedio del año gravable inmediatamente anterior, así como la tabla de percentiles de precios promedio mensuales, incluyendo por lo menos:</w:t>
      </w:r>
    </w:p>
    <w:p w14:paraId="7E9EB069" w14:textId="77777777" w:rsidR="004B2136" w:rsidRDefault="004B2136">
      <w:pPr>
        <w:ind w:left="567" w:right="567"/>
        <w:jc w:val="both"/>
        <w:rPr>
          <w:rFonts w:ascii="Arial" w:eastAsia="Arial" w:hAnsi="Arial" w:cs="Arial"/>
          <w:i/>
        </w:rPr>
      </w:pPr>
    </w:p>
    <w:p w14:paraId="28E2B929" w14:textId="77777777" w:rsidR="004B2136" w:rsidRDefault="001675E9">
      <w:pPr>
        <w:ind w:left="567" w:right="567"/>
        <w:jc w:val="both"/>
        <w:rPr>
          <w:rFonts w:ascii="Arial" w:eastAsia="Arial" w:hAnsi="Arial" w:cs="Arial"/>
          <w:i/>
        </w:rPr>
      </w:pPr>
      <w:r>
        <w:rPr>
          <w:rFonts w:ascii="Arial" w:eastAsia="Arial" w:hAnsi="Arial" w:cs="Arial"/>
          <w:i/>
        </w:rPr>
        <w:t>(…)</w:t>
      </w:r>
    </w:p>
    <w:p w14:paraId="1CE62E0B" w14:textId="77777777" w:rsidR="004B2136" w:rsidRDefault="004B2136">
      <w:pPr>
        <w:ind w:left="567" w:right="567"/>
        <w:jc w:val="both"/>
        <w:rPr>
          <w:rFonts w:ascii="Arial" w:eastAsia="Arial" w:hAnsi="Arial" w:cs="Arial"/>
          <w:i/>
        </w:rPr>
      </w:pPr>
    </w:p>
    <w:p w14:paraId="45810ECC" w14:textId="77777777" w:rsidR="004B2136" w:rsidRDefault="001675E9">
      <w:pPr>
        <w:numPr>
          <w:ilvl w:val="0"/>
          <w:numId w:val="3"/>
        </w:numPr>
        <w:shd w:val="clear" w:color="auto" w:fill="FFFFFF"/>
        <w:ind w:left="927" w:right="567"/>
        <w:jc w:val="both"/>
        <w:rPr>
          <w:rFonts w:ascii="Arial" w:eastAsia="Arial" w:hAnsi="Arial" w:cs="Arial"/>
          <w:i/>
        </w:rPr>
      </w:pPr>
      <w:r>
        <w:rPr>
          <w:rFonts w:ascii="Arial" w:eastAsia="Arial" w:hAnsi="Arial" w:cs="Arial"/>
          <w:i/>
        </w:rPr>
        <w:t>El precio promedio del carbón que se encuentre en el percentil sesenta y cinco (65) de los precios promedio mensuales de los últimos ciento veinte (120) meses, sin incluir el precio de los meses transcurridos en el año de la declaración.</w:t>
      </w:r>
    </w:p>
    <w:p w14:paraId="032187CC" w14:textId="77777777" w:rsidR="004B2136" w:rsidRDefault="001675E9">
      <w:pPr>
        <w:numPr>
          <w:ilvl w:val="0"/>
          <w:numId w:val="3"/>
        </w:numPr>
        <w:shd w:val="clear" w:color="auto" w:fill="FFFFFF"/>
        <w:ind w:left="927" w:right="567"/>
        <w:jc w:val="both"/>
        <w:rPr>
          <w:rFonts w:ascii="Arial" w:eastAsia="Arial" w:hAnsi="Arial" w:cs="Arial"/>
          <w:i/>
        </w:rPr>
      </w:pPr>
      <w:r>
        <w:rPr>
          <w:rFonts w:ascii="Arial" w:eastAsia="Arial" w:hAnsi="Arial" w:cs="Arial"/>
          <w:i/>
        </w:rPr>
        <w:t>El precio promedio del carbón que se encuentre en el percentil setenta y cinco (75) de los precios promedio mensuales de los últimos ciento veinte (120) meses, sin incluir el precio de los meses transcurridos en el año de la declaración. (…)”</w:t>
      </w:r>
    </w:p>
    <w:p w14:paraId="38634EDD" w14:textId="77777777" w:rsidR="004B2136" w:rsidRDefault="004B2136">
      <w:pPr>
        <w:jc w:val="both"/>
        <w:rPr>
          <w:rFonts w:ascii="Arial" w:eastAsia="Arial" w:hAnsi="Arial" w:cs="Arial"/>
          <w:color w:val="C00000"/>
          <w:sz w:val="22"/>
          <w:szCs w:val="22"/>
        </w:rPr>
      </w:pPr>
    </w:p>
    <w:p w14:paraId="54D53F24" w14:textId="77777777" w:rsidR="004B2136" w:rsidRDefault="001675E9">
      <w:pPr>
        <w:jc w:val="both"/>
        <w:rPr>
          <w:rFonts w:ascii="Arial" w:eastAsia="Arial" w:hAnsi="Arial" w:cs="Arial"/>
          <w:sz w:val="22"/>
          <w:szCs w:val="22"/>
        </w:rPr>
      </w:pPr>
      <w:r>
        <w:rPr>
          <w:rFonts w:ascii="Arial" w:eastAsia="Arial" w:hAnsi="Arial" w:cs="Arial"/>
          <w:sz w:val="22"/>
          <w:szCs w:val="22"/>
        </w:rPr>
        <w:t xml:space="preserve">Que la DIAN dio respuesta a consulta realizada por la UPME y radicada con </w:t>
      </w:r>
      <w:proofErr w:type="spellStart"/>
      <w:r>
        <w:rPr>
          <w:rFonts w:ascii="Arial" w:eastAsia="Arial" w:hAnsi="Arial" w:cs="Arial"/>
          <w:sz w:val="22"/>
          <w:szCs w:val="22"/>
        </w:rPr>
        <w:t>N°</w:t>
      </w:r>
      <w:proofErr w:type="spellEnd"/>
      <w:r>
        <w:rPr>
          <w:rFonts w:ascii="Arial" w:eastAsia="Arial" w:hAnsi="Arial" w:cs="Arial"/>
          <w:sz w:val="22"/>
          <w:szCs w:val="22"/>
        </w:rPr>
        <w:t xml:space="preserve"> 000782-100084289 del 14/07/2023 mediante correo del 26 de octubre de 2023 y emitió concepto radicado en la UPME con No. </w:t>
      </w:r>
      <w:hyperlink r:id="rId12" w:anchor="2">
        <w:r>
          <w:rPr>
            <w:rFonts w:ascii="Arial" w:eastAsia="Arial" w:hAnsi="Arial" w:cs="Arial"/>
            <w:sz w:val="22"/>
            <w:szCs w:val="22"/>
          </w:rPr>
          <w:t>20231110214862</w:t>
        </w:r>
      </w:hyperlink>
      <w:r>
        <w:rPr>
          <w:rFonts w:ascii="Arial" w:eastAsia="Arial" w:hAnsi="Arial" w:cs="Arial"/>
          <w:sz w:val="22"/>
          <w:szCs w:val="22"/>
        </w:rPr>
        <w:t xml:space="preserve"> del 30 de octubre de 2023 indicando: </w:t>
      </w:r>
    </w:p>
    <w:p w14:paraId="13E4242B" w14:textId="77777777" w:rsidR="004B2136" w:rsidRDefault="004B2136">
      <w:pPr>
        <w:jc w:val="both"/>
        <w:rPr>
          <w:rFonts w:ascii="Arial" w:eastAsia="Arial" w:hAnsi="Arial" w:cs="Arial"/>
          <w:sz w:val="22"/>
          <w:szCs w:val="22"/>
        </w:rPr>
      </w:pPr>
    </w:p>
    <w:p w14:paraId="324C422A" w14:textId="77777777" w:rsidR="004B2136" w:rsidRDefault="001675E9">
      <w:pPr>
        <w:ind w:left="708"/>
        <w:jc w:val="both"/>
        <w:rPr>
          <w:rFonts w:ascii="Arial" w:eastAsia="Arial" w:hAnsi="Arial" w:cs="Arial"/>
          <w:i/>
        </w:rPr>
      </w:pPr>
      <w:r>
        <w:rPr>
          <w:rFonts w:ascii="Arial" w:eastAsia="Arial" w:hAnsi="Arial" w:cs="Arial"/>
          <w:i/>
        </w:rPr>
        <w:t>“(…) Para efectos de la determinación de los puntos adicionales en la tarifa del impuesto sobre la renta, el parágrafo 3° del artículo 240 ibidem parte de la base de «los precios promedio mensuales de los últimos ciento veinte (120) meses, sin incluir el precio de los meses transcurridos en el año de la declaración». Lo anterior implica que se deben calcular dos precios promedio: (i) el mensual de los últimos 120 meses y (</w:t>
      </w:r>
      <w:proofErr w:type="spellStart"/>
      <w:r>
        <w:rPr>
          <w:rFonts w:ascii="Arial" w:eastAsia="Arial" w:hAnsi="Arial" w:cs="Arial"/>
          <w:i/>
        </w:rPr>
        <w:t>ii</w:t>
      </w:r>
      <w:proofErr w:type="spellEnd"/>
      <w:r>
        <w:rPr>
          <w:rFonts w:ascii="Arial" w:eastAsia="Arial" w:hAnsi="Arial" w:cs="Arial"/>
          <w:i/>
        </w:rPr>
        <w:t>) el de los meses transcurridos en el año de la declaración del impuesto sobre la renta. Los meses para calcular el primero no deben corresponder a los mismos meses que se han tenido en cuenta para calcular el segundo.</w:t>
      </w:r>
    </w:p>
    <w:p w14:paraId="3293161B" w14:textId="77777777" w:rsidR="004B2136" w:rsidRDefault="004B2136">
      <w:pPr>
        <w:ind w:left="708"/>
        <w:jc w:val="both"/>
        <w:rPr>
          <w:rFonts w:ascii="Arial" w:eastAsia="Arial" w:hAnsi="Arial" w:cs="Arial"/>
          <w:i/>
        </w:rPr>
      </w:pPr>
    </w:p>
    <w:p w14:paraId="4FC3E346" w14:textId="77777777" w:rsidR="004B2136" w:rsidRDefault="001675E9">
      <w:pPr>
        <w:ind w:left="708"/>
        <w:jc w:val="both"/>
        <w:rPr>
          <w:rFonts w:ascii="Arial" w:eastAsia="Arial" w:hAnsi="Arial" w:cs="Arial"/>
          <w:i/>
        </w:rPr>
      </w:pPr>
      <w:r>
        <w:rPr>
          <w:rFonts w:ascii="Arial" w:eastAsia="Arial" w:hAnsi="Arial" w:cs="Arial"/>
          <w:i/>
        </w:rPr>
        <w:t>Esto significa que los últimos 120 meses se deben contar regresivamente desde el último mes (diciembre) del año gravable anterior al año que es objeto de declaración. No sobra recordar que «año», en materia del impuesto sobre la renta y complementarios, «es el mismo año calendario que comienza el 1o de enero y termina el 31 de diciembre», de conformidad con el artículo 1.6.1.5.7. del Decreto 1625 de 2016. Para ilustrar lo anterior, en relación con el año gravable 2023: (i) el precio promedio mensual de los últimos 120 meses deberá calcularse teniendo en cuenta los meses de diciembre de 2022 a enero de 2013 y (</w:t>
      </w:r>
      <w:proofErr w:type="spellStart"/>
      <w:r>
        <w:rPr>
          <w:rFonts w:ascii="Arial" w:eastAsia="Arial" w:hAnsi="Arial" w:cs="Arial"/>
          <w:i/>
        </w:rPr>
        <w:t>ii</w:t>
      </w:r>
      <w:proofErr w:type="spellEnd"/>
      <w:r>
        <w:rPr>
          <w:rFonts w:ascii="Arial" w:eastAsia="Arial" w:hAnsi="Arial" w:cs="Arial"/>
          <w:i/>
        </w:rPr>
        <w:t xml:space="preserve">) el precio promedio de los meses transcurridos en el año de declaración deberá calcularse teniendo en cuenta los meses de enero de 2023 a diciembre de 2023. (…) </w:t>
      </w:r>
    </w:p>
    <w:p w14:paraId="28F2C9A0" w14:textId="77777777" w:rsidR="004B2136" w:rsidRDefault="004B2136">
      <w:pPr>
        <w:jc w:val="both"/>
        <w:rPr>
          <w:rFonts w:ascii="Arial" w:eastAsia="Arial" w:hAnsi="Arial" w:cs="Arial"/>
          <w:sz w:val="22"/>
          <w:szCs w:val="22"/>
        </w:rPr>
      </w:pPr>
    </w:p>
    <w:p w14:paraId="052DC6C3" w14:textId="77777777" w:rsidR="004B2136" w:rsidRDefault="001675E9">
      <w:pPr>
        <w:jc w:val="both"/>
        <w:rPr>
          <w:rFonts w:ascii="Arial" w:eastAsia="Arial" w:hAnsi="Arial" w:cs="Arial"/>
          <w:sz w:val="22"/>
          <w:szCs w:val="22"/>
        </w:rPr>
      </w:pPr>
      <w:r>
        <w:rPr>
          <w:rFonts w:ascii="Arial" w:eastAsia="Arial" w:hAnsi="Arial" w:cs="Arial"/>
          <w:sz w:val="22"/>
          <w:szCs w:val="22"/>
        </w:rPr>
        <w:t>Que en cumplimiento a la mencionada normativa, la Subdirección de Minería de la Unidad de Planeación Minero Energética – UPME, realizó el cálculo de los precios promedio internacional del carbón de referencia API2-BCI7 del año gravable inmediatamente anterior, así como de los percentiles 65 y 75 de los últimos 120 meses, sin incluir el precio de los meses transcurridos en el año de la declaración, deflactado con el Índice de Precios al Consumidor para todos los consumidores urbanos de los Estados Unidos de América, publicado por la Oficina de Estadísticas Laborales de ese país, para efectos de determinar los puntos adicionales a la tarifa general del impuesto sobre la renta para el año gravable 2024.</w:t>
      </w:r>
    </w:p>
    <w:p w14:paraId="482ECCD4" w14:textId="77777777" w:rsidR="004B2136" w:rsidRDefault="004B2136">
      <w:pPr>
        <w:ind w:left="201" w:right="30"/>
        <w:jc w:val="both"/>
        <w:rPr>
          <w:rFonts w:ascii="Arial" w:eastAsia="Arial" w:hAnsi="Arial" w:cs="Arial"/>
          <w:sz w:val="22"/>
          <w:szCs w:val="22"/>
        </w:rPr>
      </w:pPr>
    </w:p>
    <w:p w14:paraId="4674BE60" w14:textId="77777777" w:rsidR="004B2136" w:rsidRDefault="001675E9">
      <w:pPr>
        <w:ind w:right="30"/>
        <w:jc w:val="both"/>
        <w:rPr>
          <w:rFonts w:ascii="Arial" w:eastAsia="Arial" w:hAnsi="Arial" w:cs="Arial"/>
          <w:sz w:val="22"/>
          <w:szCs w:val="22"/>
        </w:rPr>
      </w:pPr>
      <w:r>
        <w:rPr>
          <w:rFonts w:ascii="Arial" w:eastAsia="Arial" w:hAnsi="Arial" w:cs="Arial"/>
          <w:sz w:val="22"/>
          <w:szCs w:val="22"/>
        </w:rPr>
        <w:t xml:space="preserve">Que mediante memorando interno No. </w:t>
      </w:r>
      <w:r w:rsidR="00DB3F8D" w:rsidRPr="00DB3F8D">
        <w:rPr>
          <w:rFonts w:ascii="Arial" w:eastAsia="Arial" w:hAnsi="Arial" w:cs="Arial"/>
          <w:sz w:val="22"/>
          <w:szCs w:val="22"/>
        </w:rPr>
        <w:t>20251400003823</w:t>
      </w:r>
      <w:r>
        <w:rPr>
          <w:rFonts w:ascii="Arial" w:eastAsia="Arial" w:hAnsi="Arial" w:cs="Arial"/>
          <w:sz w:val="22"/>
          <w:szCs w:val="22"/>
        </w:rPr>
        <w:t xml:space="preserve">, la Subdirección de Minería remitió a la oficina asesora jurídica el </w:t>
      </w:r>
      <w:r>
        <w:rPr>
          <w:rFonts w:ascii="Arial" w:eastAsia="Arial" w:hAnsi="Arial" w:cs="Arial"/>
          <w:i/>
          <w:sz w:val="22"/>
          <w:szCs w:val="22"/>
        </w:rPr>
        <w:t xml:space="preserve">“Soporte de cálculo precio promedio internacional del carbón de referencia api2-bci7 del año 2024, así como la tabla de percentiles de precios promedio mensuales, en cumplimiento a lo ordenado en el parágrafo 3 del artículo 240 del estatuto tributario, modificado por el artículo 10 de la ley 2277 de 2022.”, </w:t>
      </w:r>
      <w:r>
        <w:rPr>
          <w:rFonts w:ascii="Arial" w:eastAsia="Arial" w:hAnsi="Arial" w:cs="Arial"/>
          <w:sz w:val="22"/>
          <w:szCs w:val="22"/>
        </w:rPr>
        <w:t>el cual hace parte integral del presente acto.</w:t>
      </w:r>
    </w:p>
    <w:p w14:paraId="07B84F28" w14:textId="77777777" w:rsidR="004B2136" w:rsidRDefault="004B2136">
      <w:pPr>
        <w:jc w:val="both"/>
        <w:rPr>
          <w:rFonts w:ascii="Arial" w:eastAsia="Arial" w:hAnsi="Arial" w:cs="Arial"/>
          <w:sz w:val="22"/>
          <w:szCs w:val="22"/>
        </w:rPr>
      </w:pPr>
    </w:p>
    <w:p w14:paraId="44C162AF" w14:textId="77777777" w:rsidR="004B2136" w:rsidRDefault="004B2136">
      <w:pPr>
        <w:ind w:left="141"/>
        <w:jc w:val="both"/>
        <w:rPr>
          <w:rFonts w:ascii="Arial" w:eastAsia="Arial" w:hAnsi="Arial" w:cs="Arial"/>
          <w:sz w:val="22"/>
          <w:szCs w:val="22"/>
        </w:rPr>
      </w:pPr>
    </w:p>
    <w:p w14:paraId="49F3B368" w14:textId="77777777" w:rsidR="004B2136" w:rsidRDefault="001675E9" w:rsidP="00071044">
      <w:pPr>
        <w:jc w:val="both"/>
        <w:rPr>
          <w:rFonts w:ascii="Arial" w:eastAsia="Arial" w:hAnsi="Arial" w:cs="Arial"/>
          <w:sz w:val="22"/>
          <w:szCs w:val="22"/>
        </w:rPr>
      </w:pPr>
      <w:r>
        <w:rPr>
          <w:rFonts w:ascii="Arial" w:eastAsia="Arial" w:hAnsi="Arial" w:cs="Arial"/>
          <w:sz w:val="22"/>
          <w:szCs w:val="22"/>
        </w:rPr>
        <w:t>Que, en cumplimiento del artículo 5 de la Resolución No. 886 del 2024, mediante la Circular Externa No.</w:t>
      </w:r>
      <w:r w:rsidR="00071044" w:rsidRPr="00071044">
        <w:rPr>
          <w:rFonts w:ascii="Arial" w:eastAsia="Arial" w:hAnsi="Arial" w:cs="Arial"/>
          <w:sz w:val="22"/>
          <w:szCs w:val="22"/>
        </w:rPr>
        <w:t>003</w:t>
      </w:r>
      <w:r w:rsidR="00071044">
        <w:rPr>
          <w:rFonts w:ascii="Arial" w:eastAsia="Arial" w:hAnsi="Arial" w:cs="Arial"/>
          <w:sz w:val="22"/>
          <w:szCs w:val="22"/>
        </w:rPr>
        <w:t xml:space="preserve"> </w:t>
      </w:r>
      <w:r>
        <w:rPr>
          <w:rFonts w:ascii="Arial" w:eastAsia="Arial" w:hAnsi="Arial" w:cs="Arial"/>
          <w:sz w:val="22"/>
          <w:szCs w:val="22"/>
        </w:rPr>
        <w:t>de 2025, se publicó en la página web de la Entidad, por diez (10) días calendarios el proyecto de resolución, invitando a los interesados y al público en general a remitir sus comentarios hasta el 2</w:t>
      </w:r>
      <w:r w:rsidR="0065303A">
        <w:rPr>
          <w:rFonts w:ascii="Arial" w:eastAsia="Arial" w:hAnsi="Arial" w:cs="Arial"/>
          <w:sz w:val="22"/>
          <w:szCs w:val="22"/>
        </w:rPr>
        <w:t>7</w:t>
      </w:r>
      <w:r>
        <w:rPr>
          <w:rFonts w:ascii="Arial" w:eastAsia="Arial" w:hAnsi="Arial" w:cs="Arial"/>
          <w:sz w:val="22"/>
          <w:szCs w:val="22"/>
        </w:rPr>
        <w:t xml:space="preserve"> de enero de 2025.  Vencido este plazo, </w:t>
      </w:r>
      <w:r>
        <w:rPr>
          <w:rFonts w:ascii="Arial" w:eastAsia="Arial" w:hAnsi="Arial" w:cs="Arial"/>
          <w:sz w:val="22"/>
          <w:szCs w:val="22"/>
          <w:highlight w:val="white"/>
        </w:rPr>
        <w:t>SI/NO</w:t>
      </w:r>
      <w:r>
        <w:rPr>
          <w:rFonts w:ascii="Arial" w:eastAsia="Arial" w:hAnsi="Arial" w:cs="Arial"/>
          <w:sz w:val="22"/>
          <w:szCs w:val="22"/>
        </w:rPr>
        <w:t xml:space="preserve"> se recibieron observaciones.</w:t>
      </w:r>
    </w:p>
    <w:p w14:paraId="253682D6" w14:textId="77777777" w:rsidR="004B2136" w:rsidRDefault="004B2136">
      <w:pPr>
        <w:jc w:val="both"/>
        <w:rPr>
          <w:rFonts w:ascii="Arial" w:eastAsia="Arial" w:hAnsi="Arial" w:cs="Arial"/>
          <w:sz w:val="22"/>
          <w:szCs w:val="22"/>
        </w:rPr>
      </w:pPr>
    </w:p>
    <w:p w14:paraId="37460E5B" w14:textId="77777777" w:rsidR="004B2136" w:rsidRDefault="004B2136">
      <w:pPr>
        <w:jc w:val="both"/>
        <w:rPr>
          <w:rFonts w:ascii="Arial" w:eastAsia="Arial" w:hAnsi="Arial" w:cs="Arial"/>
          <w:sz w:val="22"/>
          <w:szCs w:val="22"/>
        </w:rPr>
      </w:pPr>
    </w:p>
    <w:p w14:paraId="15A17EE5" w14:textId="77777777" w:rsidR="004B2136" w:rsidRDefault="001675E9">
      <w:pPr>
        <w:jc w:val="both"/>
        <w:rPr>
          <w:rFonts w:ascii="Arial" w:eastAsia="Arial" w:hAnsi="Arial" w:cs="Arial"/>
          <w:sz w:val="22"/>
          <w:szCs w:val="22"/>
        </w:rPr>
      </w:pPr>
      <w:r>
        <w:rPr>
          <w:rFonts w:ascii="Arial" w:eastAsia="Arial" w:hAnsi="Arial" w:cs="Arial"/>
          <w:sz w:val="22"/>
          <w:szCs w:val="22"/>
        </w:rPr>
        <w:t>Que, en mérito de lo expuesto,</w:t>
      </w:r>
    </w:p>
    <w:p w14:paraId="6F8DD5C1" w14:textId="77777777" w:rsidR="004B2136" w:rsidRDefault="004B2136">
      <w:pPr>
        <w:jc w:val="both"/>
        <w:rPr>
          <w:rFonts w:ascii="Arial" w:eastAsia="Arial" w:hAnsi="Arial" w:cs="Arial"/>
          <w:sz w:val="18"/>
          <w:szCs w:val="18"/>
        </w:rPr>
      </w:pPr>
    </w:p>
    <w:p w14:paraId="2F4E40A7" w14:textId="77777777" w:rsidR="004B2136" w:rsidRDefault="001675E9">
      <w:pPr>
        <w:pStyle w:val="Ttulo2"/>
        <w:pBdr>
          <w:top w:val="none" w:sz="0" w:space="0" w:color="000000"/>
          <w:left w:val="none" w:sz="0" w:space="0" w:color="000000"/>
          <w:bottom w:val="none" w:sz="0" w:space="0" w:color="000000"/>
          <w:right w:val="none" w:sz="0" w:space="0" w:color="000000"/>
        </w:pBdr>
        <w:rPr>
          <w:rFonts w:ascii="Arial" w:eastAsia="Arial" w:hAnsi="Arial" w:cs="Arial"/>
          <w:sz w:val="22"/>
          <w:szCs w:val="22"/>
        </w:rPr>
      </w:pPr>
      <w:r>
        <w:rPr>
          <w:rFonts w:ascii="Arial" w:eastAsia="Arial" w:hAnsi="Arial" w:cs="Arial"/>
          <w:sz w:val="22"/>
          <w:szCs w:val="22"/>
        </w:rPr>
        <w:t>R E S U E L V E:</w:t>
      </w:r>
    </w:p>
    <w:p w14:paraId="6813241A" w14:textId="77777777" w:rsidR="004B2136" w:rsidRDefault="004B2136">
      <w:pPr>
        <w:rPr>
          <w:rFonts w:ascii="Arial" w:eastAsia="Arial" w:hAnsi="Arial" w:cs="Arial"/>
          <w:sz w:val="16"/>
          <w:szCs w:val="16"/>
        </w:rPr>
      </w:pPr>
    </w:p>
    <w:p w14:paraId="415CE6B1" w14:textId="77777777" w:rsidR="004B2136" w:rsidRDefault="004B2136">
      <w:pPr>
        <w:rPr>
          <w:rFonts w:ascii="Arial" w:eastAsia="Arial" w:hAnsi="Arial" w:cs="Arial"/>
          <w:sz w:val="16"/>
          <w:szCs w:val="16"/>
        </w:rPr>
      </w:pPr>
    </w:p>
    <w:p w14:paraId="240AE7B3" w14:textId="77777777" w:rsidR="004B2136" w:rsidRDefault="001675E9">
      <w:pPr>
        <w:jc w:val="both"/>
        <w:rPr>
          <w:rFonts w:ascii="Arial" w:eastAsia="Arial" w:hAnsi="Arial" w:cs="Arial"/>
          <w:sz w:val="22"/>
          <w:szCs w:val="22"/>
        </w:rPr>
      </w:pPr>
      <w:r>
        <w:rPr>
          <w:rFonts w:ascii="Arial" w:eastAsia="Arial" w:hAnsi="Arial" w:cs="Arial"/>
          <w:b/>
          <w:sz w:val="22"/>
          <w:szCs w:val="22"/>
        </w:rPr>
        <w:t xml:space="preserve">Artículo Primero. ESTABLECER </w:t>
      </w:r>
      <w:r>
        <w:rPr>
          <w:rFonts w:ascii="Arial" w:eastAsia="Arial" w:hAnsi="Arial" w:cs="Arial"/>
          <w:sz w:val="22"/>
          <w:szCs w:val="22"/>
        </w:rPr>
        <w:t>el precio promedio internacional del carbón de referencia (API2-BCI7) para el año 2024 es de $97.55 USD/Ton.</w:t>
      </w:r>
    </w:p>
    <w:p w14:paraId="516777DF" w14:textId="77777777" w:rsidR="004B2136" w:rsidRDefault="004B2136">
      <w:pPr>
        <w:jc w:val="both"/>
        <w:rPr>
          <w:rFonts w:ascii="Arial" w:eastAsia="Arial" w:hAnsi="Arial" w:cs="Arial"/>
          <w:sz w:val="22"/>
          <w:szCs w:val="22"/>
        </w:rPr>
      </w:pPr>
    </w:p>
    <w:p w14:paraId="096E888C" w14:textId="77777777" w:rsidR="004B2136" w:rsidRDefault="001675E9">
      <w:pPr>
        <w:jc w:val="both"/>
        <w:rPr>
          <w:rFonts w:ascii="Arial" w:eastAsia="Arial" w:hAnsi="Arial" w:cs="Arial"/>
          <w:sz w:val="22"/>
          <w:szCs w:val="22"/>
        </w:rPr>
      </w:pPr>
      <w:r>
        <w:rPr>
          <w:rFonts w:ascii="Arial" w:eastAsia="Arial" w:hAnsi="Arial" w:cs="Arial"/>
          <w:b/>
          <w:sz w:val="22"/>
          <w:szCs w:val="22"/>
        </w:rPr>
        <w:t>Artículo Segundo. FIJAR</w:t>
      </w:r>
      <w:r>
        <w:rPr>
          <w:rFonts w:ascii="Arial" w:eastAsia="Arial" w:hAnsi="Arial" w:cs="Arial"/>
          <w:sz w:val="22"/>
          <w:szCs w:val="22"/>
        </w:rPr>
        <w:t xml:space="preserve"> la tabla de percentiles de precios promedio mensuales (USD/Ton) de referencia (API2-BCI7) como se procede a relacionar a continuación, deflactado con el Índice de Precios al Consumidor para todos los consumidores urbanos de los Estados Unidos de América, publicado por la Oficina de Estadísticas Laborales de ese país:</w:t>
      </w:r>
    </w:p>
    <w:p w14:paraId="707910DD" w14:textId="77777777" w:rsidR="004B2136" w:rsidRDefault="004B2136">
      <w:pPr>
        <w:jc w:val="both"/>
        <w:rPr>
          <w:rFonts w:ascii="Arial" w:eastAsia="Arial" w:hAnsi="Arial" w:cs="Arial"/>
          <w:sz w:val="22"/>
          <w:szCs w:val="22"/>
        </w:rPr>
      </w:pPr>
    </w:p>
    <w:sdt>
      <w:sdtPr>
        <w:rPr>
          <w:rFonts w:ascii="Times New Roman" w:eastAsia="Times New Roman" w:hAnsi="Times New Roman" w:cs="Times New Roman"/>
        </w:rPr>
        <w:tag w:val="goog_rdk_6"/>
        <w:id w:val="887148510"/>
        <w:lock w:val="contentLocked"/>
      </w:sdtPr>
      <w:sdtEndPr/>
      <w:sdtContent>
        <w:tbl>
          <w:tblPr>
            <w:tblStyle w:val="a5"/>
            <w:tblW w:w="819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6375"/>
            <w:gridCol w:w="1815"/>
          </w:tblGrid>
          <w:tr w:rsidR="004B2136" w14:paraId="221FDC6D" w14:textId="77777777">
            <w:trPr>
              <w:trHeight w:val="315"/>
            </w:trPr>
            <w:sdt>
              <w:sdtPr>
                <w:rPr>
                  <w:rFonts w:ascii="Times New Roman" w:eastAsia="Times New Roman" w:hAnsi="Times New Roman" w:cs="Times New Roman"/>
                </w:rPr>
                <w:tag w:val="goog_rdk_0"/>
                <w:id w:val="1066456908"/>
                <w:lock w:val="contentLocked"/>
              </w:sdtPr>
              <w:sdtEndPr>
                <w:rPr>
                  <w:rFonts w:ascii="Calibri" w:eastAsia="Calibri" w:hAnsi="Calibri" w:cs="Calibri"/>
                </w:rPr>
              </w:sdtEndPr>
              <w:sdtContent>
                <w:tc>
                  <w:tcPr>
                    <w:tcW w:w="6375" w:type="dxa"/>
                    <w:tcBorders>
                      <w:top w:val="nil"/>
                      <w:left w:val="nil"/>
                      <w:bottom w:val="single" w:sz="4" w:space="0" w:color="FFFFFF"/>
                      <w:right w:val="single" w:sz="4" w:space="0" w:color="1F3864"/>
                    </w:tcBorders>
                    <w:shd w:val="clear" w:color="auto" w:fill="auto"/>
                    <w:tcMar>
                      <w:top w:w="0" w:type="dxa"/>
                      <w:left w:w="40" w:type="dxa"/>
                      <w:bottom w:w="0" w:type="dxa"/>
                      <w:right w:w="40" w:type="dxa"/>
                    </w:tcMar>
                    <w:vAlign w:val="bottom"/>
                  </w:tcPr>
                  <w:p w14:paraId="6F88DC5A" w14:textId="77777777" w:rsidR="004B2136" w:rsidRDefault="004B2136">
                    <w:pPr>
                      <w:widowControl w:val="0"/>
                      <w:spacing w:line="276" w:lineRule="auto"/>
                      <w:rPr>
                        <w:rFonts w:ascii="Arial" w:eastAsia="Arial" w:hAnsi="Arial" w:cs="Arial"/>
                      </w:rPr>
                    </w:pPr>
                  </w:p>
                </w:tc>
              </w:sdtContent>
            </w:sdt>
            <w:sdt>
              <w:sdtPr>
                <w:tag w:val="goog_rdk_1"/>
                <w:id w:val="-88006056"/>
                <w:lock w:val="contentLocked"/>
              </w:sdtPr>
              <w:sdtEndPr/>
              <w:sdtContent>
                <w:tc>
                  <w:tcPr>
                    <w:tcW w:w="1815" w:type="dxa"/>
                    <w:tcBorders>
                      <w:top w:val="single" w:sz="4" w:space="0" w:color="1F3864"/>
                      <w:left w:val="nil"/>
                      <w:bottom w:val="single" w:sz="4" w:space="0" w:color="1F3864"/>
                      <w:right w:val="single" w:sz="4" w:space="0" w:color="1F3864"/>
                    </w:tcBorders>
                    <w:shd w:val="clear" w:color="auto" w:fill="auto"/>
                    <w:tcMar>
                      <w:top w:w="0" w:type="dxa"/>
                      <w:left w:w="40" w:type="dxa"/>
                      <w:bottom w:w="0" w:type="dxa"/>
                      <w:right w:w="40" w:type="dxa"/>
                    </w:tcMar>
                    <w:vAlign w:val="bottom"/>
                  </w:tcPr>
                  <w:p w14:paraId="707A6273" w14:textId="77777777" w:rsidR="004B2136" w:rsidRDefault="001675E9">
                    <w:pPr>
                      <w:widowControl w:val="0"/>
                      <w:spacing w:line="276" w:lineRule="auto"/>
                      <w:jc w:val="center"/>
                      <w:rPr>
                        <w:rFonts w:ascii="Arial" w:eastAsia="Arial" w:hAnsi="Arial" w:cs="Arial"/>
                      </w:rPr>
                    </w:pPr>
                    <w:r>
                      <w:rPr>
                        <w:rFonts w:ascii="Arial" w:eastAsia="Arial" w:hAnsi="Arial" w:cs="Arial"/>
                        <w:b/>
                        <w:color w:val="1F3864"/>
                        <w:sz w:val="22"/>
                        <w:szCs w:val="22"/>
                      </w:rPr>
                      <w:t>USD/TON</w:t>
                    </w:r>
                  </w:p>
                </w:tc>
              </w:sdtContent>
            </w:sdt>
          </w:tr>
          <w:tr w:rsidR="004B2136" w14:paraId="0BC2DCD6" w14:textId="77777777">
            <w:sdt>
              <w:sdtPr>
                <w:tag w:val="goog_rdk_2"/>
                <w:id w:val="-539132313"/>
                <w:lock w:val="contentLocked"/>
              </w:sdtPr>
              <w:sdtEndPr/>
              <w:sdtContent>
                <w:tc>
                  <w:tcPr>
                    <w:tcW w:w="6375" w:type="dxa"/>
                    <w:tcBorders>
                      <w:top w:val="nil"/>
                      <w:left w:val="single" w:sz="4" w:space="0" w:color="FFFFFF"/>
                      <w:bottom w:val="single" w:sz="4" w:space="0" w:color="FFFFFF"/>
                      <w:right w:val="single" w:sz="4" w:space="0" w:color="1F3864"/>
                    </w:tcBorders>
                    <w:shd w:val="clear" w:color="auto" w:fill="434343"/>
                    <w:tcMar>
                      <w:top w:w="0" w:type="dxa"/>
                      <w:left w:w="40" w:type="dxa"/>
                      <w:bottom w:w="0" w:type="dxa"/>
                      <w:right w:w="40" w:type="dxa"/>
                    </w:tcMar>
                    <w:vAlign w:val="center"/>
                  </w:tcPr>
                  <w:p w14:paraId="3B5804CF" w14:textId="77777777" w:rsidR="004B2136" w:rsidRDefault="001675E9">
                    <w:pPr>
                      <w:widowControl w:val="0"/>
                      <w:spacing w:line="276" w:lineRule="auto"/>
                      <w:rPr>
                        <w:rFonts w:ascii="Arial" w:eastAsia="Arial" w:hAnsi="Arial" w:cs="Arial"/>
                      </w:rPr>
                    </w:pPr>
                    <w:r>
                      <w:rPr>
                        <w:rFonts w:ascii="Arial" w:eastAsia="Arial" w:hAnsi="Arial" w:cs="Arial"/>
                        <w:color w:val="FFFFFF"/>
                      </w:rPr>
                      <w:t>Percentil 65</w:t>
                    </w:r>
                  </w:p>
                </w:tc>
              </w:sdtContent>
            </w:sdt>
            <w:sdt>
              <w:sdtPr>
                <w:tag w:val="goog_rdk_3"/>
                <w:id w:val="-1786730998"/>
                <w:lock w:val="contentLocked"/>
              </w:sdtPr>
              <w:sdtEndPr/>
              <w:sdtContent>
                <w:tc>
                  <w:tcPr>
                    <w:tcW w:w="1815" w:type="dxa"/>
                    <w:tcBorders>
                      <w:top w:val="nil"/>
                      <w:left w:val="nil"/>
                      <w:bottom w:val="single" w:sz="4" w:space="0" w:color="1F3864"/>
                      <w:right w:val="single" w:sz="4" w:space="0" w:color="1F3864"/>
                    </w:tcBorders>
                    <w:tcMar>
                      <w:top w:w="0" w:type="dxa"/>
                      <w:left w:w="40" w:type="dxa"/>
                      <w:bottom w:w="0" w:type="dxa"/>
                      <w:right w:w="40" w:type="dxa"/>
                    </w:tcMar>
                    <w:vAlign w:val="center"/>
                  </w:tcPr>
                  <w:p w14:paraId="3ABD506B" w14:textId="77777777" w:rsidR="004B2136" w:rsidRDefault="001675E9">
                    <w:pPr>
                      <w:widowControl w:val="0"/>
                      <w:spacing w:line="276" w:lineRule="auto"/>
                      <w:jc w:val="center"/>
                      <w:rPr>
                        <w:rFonts w:ascii="Arial" w:eastAsia="Arial" w:hAnsi="Arial" w:cs="Arial"/>
                      </w:rPr>
                    </w:pPr>
                    <w:r>
                      <w:rPr>
                        <w:rFonts w:ascii="Arial" w:eastAsia="Arial" w:hAnsi="Arial" w:cs="Arial"/>
                        <w:sz w:val="22"/>
                        <w:szCs w:val="22"/>
                      </w:rPr>
                      <w:t>$99,92</w:t>
                    </w:r>
                  </w:p>
                </w:tc>
              </w:sdtContent>
            </w:sdt>
          </w:tr>
          <w:tr w:rsidR="004B2136" w14:paraId="2F90ADF3" w14:textId="77777777">
            <w:trPr>
              <w:trHeight w:val="315"/>
            </w:trPr>
            <w:sdt>
              <w:sdtPr>
                <w:tag w:val="goog_rdk_4"/>
                <w:id w:val="1024521252"/>
                <w:lock w:val="contentLocked"/>
              </w:sdtPr>
              <w:sdtEndPr/>
              <w:sdtContent>
                <w:tc>
                  <w:tcPr>
                    <w:tcW w:w="6375" w:type="dxa"/>
                    <w:tcBorders>
                      <w:top w:val="nil"/>
                      <w:left w:val="single" w:sz="4" w:space="0" w:color="FFFFFF"/>
                      <w:bottom w:val="single" w:sz="4" w:space="0" w:color="FFFFFF"/>
                      <w:right w:val="single" w:sz="4" w:space="0" w:color="1F3864"/>
                    </w:tcBorders>
                    <w:shd w:val="clear" w:color="auto" w:fill="434343"/>
                    <w:tcMar>
                      <w:top w:w="0" w:type="dxa"/>
                      <w:left w:w="40" w:type="dxa"/>
                      <w:bottom w:w="0" w:type="dxa"/>
                      <w:right w:w="40" w:type="dxa"/>
                    </w:tcMar>
                    <w:vAlign w:val="center"/>
                  </w:tcPr>
                  <w:p w14:paraId="4D9EA78D" w14:textId="77777777" w:rsidR="004B2136" w:rsidRDefault="001675E9">
                    <w:pPr>
                      <w:widowControl w:val="0"/>
                      <w:spacing w:line="276" w:lineRule="auto"/>
                      <w:rPr>
                        <w:rFonts w:ascii="Arial" w:eastAsia="Arial" w:hAnsi="Arial" w:cs="Arial"/>
                      </w:rPr>
                    </w:pPr>
                    <w:r>
                      <w:rPr>
                        <w:rFonts w:ascii="Arial" w:eastAsia="Arial" w:hAnsi="Arial" w:cs="Arial"/>
                        <w:color w:val="FFFFFF"/>
                      </w:rPr>
                      <w:t>Percentil 75</w:t>
                    </w:r>
                  </w:p>
                </w:tc>
              </w:sdtContent>
            </w:sdt>
            <w:sdt>
              <w:sdtPr>
                <w:tag w:val="goog_rdk_5"/>
                <w:id w:val="-2016369843"/>
                <w:lock w:val="contentLocked"/>
              </w:sdtPr>
              <w:sdtEndPr/>
              <w:sdtContent>
                <w:tc>
                  <w:tcPr>
                    <w:tcW w:w="1815" w:type="dxa"/>
                    <w:tcBorders>
                      <w:top w:val="nil"/>
                      <w:left w:val="nil"/>
                      <w:bottom w:val="single" w:sz="4" w:space="0" w:color="1F3864"/>
                      <w:right w:val="single" w:sz="4" w:space="0" w:color="1F3864"/>
                    </w:tcBorders>
                    <w:shd w:val="clear" w:color="auto" w:fill="auto"/>
                    <w:tcMar>
                      <w:top w:w="0" w:type="dxa"/>
                      <w:left w:w="40" w:type="dxa"/>
                      <w:bottom w:w="0" w:type="dxa"/>
                      <w:right w:w="40" w:type="dxa"/>
                    </w:tcMar>
                    <w:vAlign w:val="center"/>
                  </w:tcPr>
                  <w:p w14:paraId="5A8EB3B3" w14:textId="77777777" w:rsidR="004B2136" w:rsidRDefault="001675E9">
                    <w:pPr>
                      <w:widowControl w:val="0"/>
                      <w:spacing w:line="276" w:lineRule="auto"/>
                      <w:jc w:val="center"/>
                      <w:rPr>
                        <w:rFonts w:ascii="Arial" w:eastAsia="Arial" w:hAnsi="Arial" w:cs="Arial"/>
                      </w:rPr>
                    </w:pPr>
                    <w:r>
                      <w:rPr>
                        <w:rFonts w:ascii="Arial" w:eastAsia="Arial" w:hAnsi="Arial" w:cs="Arial"/>
                        <w:sz w:val="22"/>
                        <w:szCs w:val="22"/>
                      </w:rPr>
                      <w:t>$106,98</w:t>
                    </w:r>
                  </w:p>
                </w:tc>
              </w:sdtContent>
            </w:sdt>
          </w:tr>
        </w:tbl>
      </w:sdtContent>
    </w:sdt>
    <w:p w14:paraId="5C6E0789" w14:textId="77777777" w:rsidR="004B2136" w:rsidRDefault="004B2136">
      <w:pPr>
        <w:jc w:val="center"/>
        <w:rPr>
          <w:rFonts w:ascii="Arial" w:eastAsia="Arial" w:hAnsi="Arial" w:cs="Arial"/>
          <w:sz w:val="22"/>
          <w:szCs w:val="22"/>
        </w:rPr>
      </w:pPr>
    </w:p>
    <w:p w14:paraId="0423FED2" w14:textId="77777777" w:rsidR="004B2136" w:rsidRDefault="004B2136">
      <w:pPr>
        <w:jc w:val="both"/>
        <w:rPr>
          <w:rFonts w:ascii="Arial" w:eastAsia="Arial" w:hAnsi="Arial" w:cs="Arial"/>
          <w:sz w:val="22"/>
          <w:szCs w:val="22"/>
        </w:rPr>
      </w:pPr>
    </w:p>
    <w:p w14:paraId="73F36EEA" w14:textId="77777777" w:rsidR="004B2136" w:rsidRDefault="001675E9">
      <w:pPr>
        <w:jc w:val="both"/>
        <w:rPr>
          <w:rFonts w:ascii="Arial" w:eastAsia="Arial" w:hAnsi="Arial" w:cs="Arial"/>
          <w:i/>
          <w:sz w:val="22"/>
          <w:szCs w:val="22"/>
        </w:rPr>
      </w:pPr>
      <w:r>
        <w:rPr>
          <w:rFonts w:ascii="Arial" w:eastAsia="Arial" w:hAnsi="Arial" w:cs="Arial"/>
          <w:b/>
          <w:sz w:val="22"/>
          <w:szCs w:val="22"/>
        </w:rPr>
        <w:t>Parágrafo.</w:t>
      </w:r>
      <w:r>
        <w:rPr>
          <w:rFonts w:ascii="Arial" w:eastAsia="Arial" w:hAnsi="Arial" w:cs="Arial"/>
          <w:sz w:val="22"/>
          <w:szCs w:val="22"/>
        </w:rPr>
        <w:t xml:space="preserve"> El documento técnico denominado </w:t>
      </w:r>
      <w:r>
        <w:rPr>
          <w:rFonts w:ascii="Arial" w:eastAsia="Arial" w:hAnsi="Arial" w:cs="Arial"/>
          <w:i/>
          <w:sz w:val="22"/>
          <w:szCs w:val="22"/>
        </w:rPr>
        <w:t xml:space="preserve">“SOPORTE DE CÁLCULO PRECIO PROMEDIO INTERNACIONAL DEL CARBÓN DE REFERENCIA API2-BCI7 DEL AÑO 2024, ASÍ COMO LA TABLA DE PERCENTILES DE PRECIOS PROMEDIO MENSUALES, EN CUMPLIMIENTO A LO ORDENADO EN EL PARÁGRAFO 3 DEL ARTÍCULO 240 DEL ESTATUTO TRIBUTARIO, MODIFICADO POR EL ARTÍCULO 10 DE LA LEY 2277 DE 2022”, </w:t>
      </w:r>
      <w:r>
        <w:rPr>
          <w:rFonts w:ascii="Arial" w:eastAsia="Arial" w:hAnsi="Arial" w:cs="Arial"/>
          <w:sz w:val="22"/>
          <w:szCs w:val="22"/>
        </w:rPr>
        <w:t>expedido por la Subdirección de Minería de la UPME forma parte integral del presente acto</w:t>
      </w:r>
      <w:r>
        <w:rPr>
          <w:rFonts w:ascii="Arial" w:eastAsia="Arial" w:hAnsi="Arial" w:cs="Arial"/>
          <w:i/>
          <w:sz w:val="22"/>
          <w:szCs w:val="22"/>
        </w:rPr>
        <w:t>.</w:t>
      </w:r>
    </w:p>
    <w:p w14:paraId="5CF302CA" w14:textId="77777777" w:rsidR="004B2136" w:rsidRDefault="004B2136">
      <w:pPr>
        <w:jc w:val="both"/>
        <w:rPr>
          <w:rFonts w:ascii="Arial" w:eastAsia="Arial" w:hAnsi="Arial" w:cs="Arial"/>
          <w:b/>
          <w:sz w:val="22"/>
          <w:szCs w:val="22"/>
        </w:rPr>
      </w:pPr>
    </w:p>
    <w:p w14:paraId="71BEDBEB" w14:textId="77777777" w:rsidR="004B2136" w:rsidRDefault="001675E9">
      <w:pPr>
        <w:jc w:val="both"/>
        <w:rPr>
          <w:rFonts w:ascii="Arial" w:eastAsia="Arial" w:hAnsi="Arial" w:cs="Arial"/>
          <w:b/>
          <w:sz w:val="22"/>
          <w:szCs w:val="22"/>
        </w:rPr>
      </w:pPr>
      <w:r>
        <w:rPr>
          <w:rFonts w:ascii="Arial" w:eastAsia="Arial" w:hAnsi="Arial" w:cs="Arial"/>
          <w:b/>
          <w:sz w:val="22"/>
          <w:szCs w:val="22"/>
        </w:rPr>
        <w:t xml:space="preserve">Artículo tercero. </w:t>
      </w:r>
      <w:r>
        <w:rPr>
          <w:rFonts w:ascii="Arial" w:eastAsia="Arial" w:hAnsi="Arial" w:cs="Arial"/>
          <w:sz w:val="22"/>
          <w:szCs w:val="22"/>
        </w:rPr>
        <w:t>Contra la presente Resolución no procede recurso alguno de conformidad con lo establecido en el artículo 75 del Código de Procedimiento Administrativo y de la Contencioso Administrativo</w:t>
      </w:r>
      <w:r>
        <w:rPr>
          <w:rFonts w:ascii="Arial" w:eastAsia="Arial" w:hAnsi="Arial" w:cs="Arial"/>
          <w:b/>
          <w:sz w:val="22"/>
          <w:szCs w:val="22"/>
        </w:rPr>
        <w:t>.</w:t>
      </w:r>
    </w:p>
    <w:p w14:paraId="4207ACB9" w14:textId="77777777" w:rsidR="004B2136" w:rsidRDefault="004B2136">
      <w:pPr>
        <w:jc w:val="both"/>
        <w:rPr>
          <w:rFonts w:ascii="Arial" w:eastAsia="Arial" w:hAnsi="Arial" w:cs="Arial"/>
          <w:b/>
          <w:sz w:val="22"/>
          <w:szCs w:val="22"/>
        </w:rPr>
      </w:pPr>
    </w:p>
    <w:p w14:paraId="3B7A13D8" w14:textId="77777777" w:rsidR="004B2136" w:rsidRDefault="001675E9">
      <w:pPr>
        <w:jc w:val="both"/>
        <w:rPr>
          <w:rFonts w:ascii="Arial" w:eastAsia="Arial" w:hAnsi="Arial" w:cs="Arial"/>
          <w:sz w:val="22"/>
          <w:szCs w:val="22"/>
        </w:rPr>
      </w:pPr>
      <w:r>
        <w:rPr>
          <w:rFonts w:ascii="Arial" w:eastAsia="Arial" w:hAnsi="Arial" w:cs="Arial"/>
          <w:b/>
          <w:sz w:val="22"/>
          <w:szCs w:val="22"/>
        </w:rPr>
        <w:t xml:space="preserve">Artículo cuarto. </w:t>
      </w:r>
      <w:r>
        <w:rPr>
          <w:rFonts w:ascii="Arial" w:eastAsia="Arial" w:hAnsi="Arial" w:cs="Arial"/>
          <w:sz w:val="22"/>
          <w:szCs w:val="22"/>
        </w:rPr>
        <w:t>PUBLICAR en el Diario Oficial y en la página web de la Unidad de Planeación Minero Energética -UPME.</w:t>
      </w:r>
    </w:p>
    <w:p w14:paraId="555808C1" w14:textId="77777777" w:rsidR="004B2136" w:rsidRDefault="001675E9">
      <w:pPr>
        <w:jc w:val="center"/>
        <w:rPr>
          <w:rFonts w:ascii="Arial" w:eastAsia="Arial" w:hAnsi="Arial" w:cs="Arial"/>
          <w:b/>
          <w:sz w:val="22"/>
          <w:szCs w:val="22"/>
        </w:rPr>
      </w:pPr>
      <w:r>
        <w:rPr>
          <w:rFonts w:ascii="Arial" w:eastAsia="Arial" w:hAnsi="Arial" w:cs="Arial"/>
          <w:b/>
          <w:sz w:val="22"/>
          <w:szCs w:val="22"/>
        </w:rPr>
        <w:t>PUBLÍQUESE Y CÚMPLASE,</w:t>
      </w:r>
    </w:p>
    <w:p w14:paraId="2D54B24D" w14:textId="77777777" w:rsidR="004B2136" w:rsidRDefault="004B2136">
      <w:pPr>
        <w:jc w:val="center"/>
        <w:rPr>
          <w:rFonts w:ascii="Arial" w:eastAsia="Arial" w:hAnsi="Arial" w:cs="Arial"/>
          <w:b/>
          <w:sz w:val="22"/>
          <w:szCs w:val="22"/>
        </w:rPr>
      </w:pPr>
    </w:p>
    <w:p w14:paraId="2548F3D0" w14:textId="77777777" w:rsidR="004B2136" w:rsidRDefault="001675E9">
      <w:pPr>
        <w:rPr>
          <w:rFonts w:ascii="Arial" w:eastAsia="Arial" w:hAnsi="Arial" w:cs="Arial"/>
          <w:sz w:val="22"/>
          <w:szCs w:val="22"/>
        </w:rPr>
      </w:pPr>
      <w:r>
        <w:rPr>
          <w:rFonts w:ascii="Arial" w:eastAsia="Arial" w:hAnsi="Arial" w:cs="Arial"/>
          <w:sz w:val="22"/>
          <w:szCs w:val="22"/>
        </w:rPr>
        <w:t xml:space="preserve">Dada en Bogotá, D.C., a </w:t>
      </w:r>
      <w:r>
        <w:rPr>
          <w:rFonts w:ascii="Arial" w:eastAsia="Arial" w:hAnsi="Arial" w:cs="Arial"/>
          <w:b/>
          <w:sz w:val="22"/>
          <w:szCs w:val="22"/>
        </w:rPr>
        <w:t>F_RAD_S</w:t>
      </w:r>
    </w:p>
    <w:p w14:paraId="7ABE431B" w14:textId="77777777" w:rsidR="004B2136" w:rsidRDefault="004B2136">
      <w:pPr>
        <w:pStyle w:val="Ttulo1"/>
        <w:rPr>
          <w:rFonts w:ascii="Arial" w:eastAsia="Arial" w:hAnsi="Arial" w:cs="Arial"/>
          <w:sz w:val="22"/>
          <w:szCs w:val="22"/>
        </w:rPr>
      </w:pPr>
    </w:p>
    <w:p w14:paraId="70216D20" w14:textId="77777777" w:rsidR="004B2136" w:rsidRDefault="004B2136">
      <w:pPr>
        <w:rPr>
          <w:rFonts w:ascii="Arial" w:eastAsia="Arial" w:hAnsi="Arial" w:cs="Arial"/>
          <w:sz w:val="22"/>
          <w:szCs w:val="22"/>
        </w:rPr>
      </w:pPr>
    </w:p>
    <w:p w14:paraId="4D644A74" w14:textId="77777777" w:rsidR="004B2136" w:rsidRDefault="004B2136">
      <w:pPr>
        <w:rPr>
          <w:rFonts w:ascii="Arial" w:eastAsia="Arial" w:hAnsi="Arial" w:cs="Arial"/>
          <w:sz w:val="22"/>
          <w:szCs w:val="22"/>
        </w:rPr>
      </w:pPr>
    </w:p>
    <w:p w14:paraId="1B89184A" w14:textId="77777777" w:rsidR="004B2136" w:rsidRDefault="004B2136">
      <w:pPr>
        <w:rPr>
          <w:rFonts w:ascii="Arial" w:eastAsia="Arial" w:hAnsi="Arial" w:cs="Arial"/>
          <w:sz w:val="22"/>
          <w:szCs w:val="22"/>
        </w:rPr>
      </w:pPr>
    </w:p>
    <w:p w14:paraId="757581AE" w14:textId="77777777" w:rsidR="004B2136" w:rsidRDefault="001675E9">
      <w:pPr>
        <w:jc w:val="center"/>
        <w:rPr>
          <w:rFonts w:ascii="Arial" w:eastAsia="Arial" w:hAnsi="Arial" w:cs="Arial"/>
          <w:b/>
          <w:sz w:val="22"/>
          <w:szCs w:val="22"/>
        </w:rPr>
      </w:pPr>
      <w:r>
        <w:rPr>
          <w:rFonts w:ascii="Arial" w:eastAsia="Arial" w:hAnsi="Arial" w:cs="Arial"/>
          <w:b/>
          <w:sz w:val="22"/>
          <w:szCs w:val="22"/>
        </w:rPr>
        <w:t>CARLOS ADRIÁN CORREA FLÓREZ</w:t>
      </w:r>
    </w:p>
    <w:p w14:paraId="37FCF642" w14:textId="77777777" w:rsidR="004B2136" w:rsidRDefault="001675E9">
      <w:pPr>
        <w:tabs>
          <w:tab w:val="center" w:pos="4629"/>
          <w:tab w:val="left" w:pos="6461"/>
        </w:tabs>
        <w:jc w:val="center"/>
        <w:rPr>
          <w:rFonts w:ascii="Arial" w:eastAsia="Arial" w:hAnsi="Arial" w:cs="Arial"/>
          <w:sz w:val="22"/>
          <w:szCs w:val="22"/>
        </w:rPr>
      </w:pPr>
      <w:r>
        <w:rPr>
          <w:rFonts w:ascii="Arial" w:eastAsia="Arial" w:hAnsi="Arial" w:cs="Arial"/>
          <w:b/>
          <w:sz w:val="22"/>
          <w:szCs w:val="22"/>
        </w:rPr>
        <w:t>Director General</w:t>
      </w:r>
    </w:p>
    <w:p w14:paraId="7E801A2A" w14:textId="77777777" w:rsidR="004B2136" w:rsidRDefault="004B2136">
      <w:pPr>
        <w:jc w:val="both"/>
        <w:rPr>
          <w:rFonts w:ascii="Arial" w:eastAsia="Arial" w:hAnsi="Arial" w:cs="Arial"/>
          <w:sz w:val="14"/>
          <w:szCs w:val="14"/>
        </w:rPr>
      </w:pPr>
    </w:p>
    <w:p w14:paraId="1378B572" w14:textId="77777777" w:rsidR="004B2136" w:rsidRDefault="004B2136">
      <w:pPr>
        <w:jc w:val="both"/>
        <w:rPr>
          <w:rFonts w:ascii="Arial" w:eastAsia="Arial" w:hAnsi="Arial" w:cs="Arial"/>
          <w:sz w:val="14"/>
          <w:szCs w:val="14"/>
        </w:rPr>
      </w:pPr>
    </w:p>
    <w:p w14:paraId="18D59761" w14:textId="77777777" w:rsidR="004B2136" w:rsidRDefault="001675E9">
      <w:pPr>
        <w:jc w:val="both"/>
        <w:rPr>
          <w:rFonts w:ascii="Arial" w:eastAsia="Arial" w:hAnsi="Arial" w:cs="Arial"/>
          <w:sz w:val="14"/>
          <w:szCs w:val="14"/>
        </w:rPr>
      </w:pPr>
      <w:r>
        <w:rPr>
          <w:rFonts w:ascii="Arial" w:eastAsia="Arial" w:hAnsi="Arial" w:cs="Arial"/>
          <w:sz w:val="14"/>
          <w:szCs w:val="14"/>
        </w:rPr>
        <w:t>Elaboró: Luz Mireya Gómez</w:t>
      </w:r>
    </w:p>
    <w:p w14:paraId="551D2A38" w14:textId="77777777" w:rsidR="004B2136" w:rsidRDefault="001675E9">
      <w:pPr>
        <w:jc w:val="both"/>
        <w:rPr>
          <w:rFonts w:ascii="Arial" w:eastAsia="Arial" w:hAnsi="Arial" w:cs="Arial"/>
          <w:sz w:val="14"/>
          <w:szCs w:val="14"/>
        </w:rPr>
      </w:pPr>
      <w:r>
        <w:rPr>
          <w:rFonts w:ascii="Arial" w:eastAsia="Arial" w:hAnsi="Arial" w:cs="Arial"/>
          <w:sz w:val="14"/>
          <w:szCs w:val="14"/>
        </w:rPr>
        <w:t>Revisó: MARIA PAULA TORRES MARULANDA, Carlos Adrián Correa Flórez, OLGA TATIANA ARAQUE MENDOZA, YENNY CAROLINA BARRERA RODRÍGUEZ</w:t>
      </w:r>
    </w:p>
    <w:p w14:paraId="5AE99935" w14:textId="77777777" w:rsidR="004B2136" w:rsidRDefault="001675E9">
      <w:pPr>
        <w:jc w:val="both"/>
        <w:rPr>
          <w:rFonts w:ascii="Arial" w:eastAsia="Arial" w:hAnsi="Arial" w:cs="Arial"/>
          <w:sz w:val="14"/>
          <w:szCs w:val="14"/>
        </w:rPr>
      </w:pPr>
      <w:r>
        <w:rPr>
          <w:rFonts w:ascii="Arial" w:eastAsia="Arial" w:hAnsi="Arial" w:cs="Arial"/>
          <w:sz w:val="14"/>
          <w:szCs w:val="14"/>
        </w:rPr>
        <w:t>Aprobó: Carlos Adrián Correa Flórez</w:t>
      </w:r>
    </w:p>
    <w:p w14:paraId="4EA7718D" w14:textId="77777777" w:rsidR="004B2136" w:rsidRDefault="001675E9">
      <w:pPr>
        <w:jc w:val="center"/>
        <w:rPr>
          <w:rFonts w:ascii="Arial" w:eastAsia="Arial" w:hAnsi="Arial" w:cs="Arial"/>
          <w:b/>
          <w:sz w:val="18"/>
          <w:szCs w:val="18"/>
        </w:rPr>
      </w:pPr>
      <w:r>
        <w:br w:type="page"/>
      </w:r>
      <w:r>
        <w:rPr>
          <w:rFonts w:ascii="Arial" w:eastAsia="Arial" w:hAnsi="Arial" w:cs="Arial"/>
          <w:b/>
          <w:sz w:val="18"/>
          <w:szCs w:val="18"/>
        </w:rPr>
        <w:t>Anexo 1</w:t>
      </w:r>
    </w:p>
    <w:p w14:paraId="08BC0C43" w14:textId="77777777" w:rsidR="004B2136" w:rsidRDefault="001675E9">
      <w:pPr>
        <w:shd w:val="clear" w:color="auto" w:fill="FFFFFF"/>
        <w:spacing w:after="280"/>
        <w:jc w:val="center"/>
        <w:rPr>
          <w:rFonts w:ascii="Arial" w:eastAsia="Arial" w:hAnsi="Arial" w:cs="Arial"/>
          <w:i/>
          <w:color w:val="333333"/>
          <w:sz w:val="22"/>
          <w:szCs w:val="22"/>
          <w:highlight w:val="white"/>
        </w:rPr>
      </w:pPr>
      <w:bookmarkStart w:id="1" w:name="_heading=h.gjdgxs" w:colFirst="0" w:colLast="0"/>
      <w:bookmarkEnd w:id="1"/>
      <w:r>
        <w:rPr>
          <w:rFonts w:ascii="Arial" w:eastAsia="Arial" w:hAnsi="Arial" w:cs="Arial"/>
          <w:b/>
          <w:sz w:val="22"/>
          <w:szCs w:val="22"/>
        </w:rPr>
        <w:t>SOPORTE DE CÁLCULO PRECIO PROMEDIO INTERNACIONAL DEL CARBÓN DE REFERENCIA API2-BCI7 DEL AÑO 2024, ASÍ COMO LA TABLA DE PERCENTILES DE PRECIOS PROMEDIO MENSUALES, EN CUMPLIMIENTO A LO ORDENADO EN EL PARÁGRAFO 3 DEL ARTÍCULO 240 DEL ESTATUTO TRIBUTARIO, MODIFICADO POR EL ARTÍCULO 10 DE LA LEY 2277 DE 2022</w:t>
      </w:r>
    </w:p>
    <w:p w14:paraId="312F183E" w14:textId="77777777" w:rsidR="004B2136" w:rsidRDefault="001675E9">
      <w:pPr>
        <w:numPr>
          <w:ilvl w:val="0"/>
          <w:numId w:val="2"/>
        </w:numPr>
        <w:jc w:val="both"/>
        <w:rPr>
          <w:rFonts w:ascii="Arial" w:eastAsia="Arial" w:hAnsi="Arial" w:cs="Arial"/>
          <w:b/>
          <w:sz w:val="22"/>
          <w:szCs w:val="22"/>
        </w:rPr>
      </w:pPr>
      <w:r>
        <w:rPr>
          <w:rFonts w:ascii="Arial" w:eastAsia="Arial" w:hAnsi="Arial" w:cs="Arial"/>
          <w:b/>
          <w:sz w:val="22"/>
          <w:szCs w:val="22"/>
        </w:rPr>
        <w:t xml:space="preserve">Aplicación de la metodología. </w:t>
      </w:r>
    </w:p>
    <w:p w14:paraId="76C1DB4F" w14:textId="77777777" w:rsidR="004B2136" w:rsidRDefault="004B2136">
      <w:pPr>
        <w:jc w:val="both"/>
        <w:rPr>
          <w:rFonts w:ascii="Arial" w:eastAsia="Arial" w:hAnsi="Arial" w:cs="Arial"/>
          <w:sz w:val="22"/>
          <w:szCs w:val="22"/>
        </w:rPr>
      </w:pPr>
    </w:p>
    <w:p w14:paraId="06076F45" w14:textId="77777777" w:rsidR="004B2136" w:rsidRDefault="001675E9">
      <w:pPr>
        <w:jc w:val="both"/>
        <w:rPr>
          <w:rFonts w:ascii="Arial" w:eastAsia="Arial" w:hAnsi="Arial" w:cs="Arial"/>
          <w:sz w:val="22"/>
          <w:szCs w:val="22"/>
        </w:rPr>
      </w:pPr>
      <w:r>
        <w:rPr>
          <w:rFonts w:ascii="Arial" w:eastAsia="Arial" w:hAnsi="Arial" w:cs="Arial"/>
          <w:sz w:val="22"/>
          <w:szCs w:val="22"/>
        </w:rPr>
        <w:t xml:space="preserve">Conforme a lo establecido en el </w:t>
      </w:r>
      <w:r>
        <w:rPr>
          <w:rFonts w:ascii="Arial" w:eastAsia="Arial" w:hAnsi="Arial" w:cs="Arial"/>
          <w:color w:val="333333"/>
          <w:sz w:val="22"/>
          <w:szCs w:val="22"/>
          <w:highlight w:val="white"/>
        </w:rPr>
        <w:t>parágrafo 3° del artículo 240 del Estatuto Tributario, modificado por el artículo 10° de la Ley 2277 de 2022,</w:t>
      </w:r>
      <w:r>
        <w:rPr>
          <w:rFonts w:ascii="Arial" w:eastAsia="Arial" w:hAnsi="Arial" w:cs="Arial"/>
          <w:sz w:val="22"/>
          <w:szCs w:val="22"/>
        </w:rPr>
        <w:t xml:space="preserve"> la Unidad de Planeación Minero Energética procedió a calcular los precios promedio para el carbón de referencia del año gravable inmediatamente anterior, así como de los percentiles 65 y 75 de los últimos 120 meses, sin incluir el precio de los meses transcurridos en el año de la declaración, utilizando la metodología establecida: </w:t>
      </w:r>
    </w:p>
    <w:p w14:paraId="6644706C" w14:textId="77777777" w:rsidR="004B2136" w:rsidRDefault="004B2136">
      <w:pPr>
        <w:jc w:val="both"/>
        <w:rPr>
          <w:rFonts w:ascii="Arial" w:eastAsia="Arial" w:hAnsi="Arial" w:cs="Arial"/>
          <w:sz w:val="22"/>
          <w:szCs w:val="22"/>
        </w:rPr>
      </w:pPr>
    </w:p>
    <w:p w14:paraId="6A99CE93" w14:textId="77777777" w:rsidR="004B2136" w:rsidRDefault="001675E9">
      <w:pPr>
        <w:numPr>
          <w:ilvl w:val="0"/>
          <w:numId w:val="4"/>
        </w:numPr>
        <w:jc w:val="both"/>
        <w:rPr>
          <w:rFonts w:ascii="Arial" w:eastAsia="Arial" w:hAnsi="Arial" w:cs="Arial"/>
          <w:sz w:val="22"/>
          <w:szCs w:val="22"/>
        </w:rPr>
      </w:pPr>
      <w:r>
        <w:rPr>
          <w:rFonts w:ascii="Arial" w:eastAsia="Arial" w:hAnsi="Arial" w:cs="Arial"/>
          <w:sz w:val="22"/>
          <w:szCs w:val="22"/>
        </w:rPr>
        <w:t xml:space="preserve">Los precios promedio del año gravable inmediatamente anterior: los precios internaciones del carbón de referencia (API2-BCI7) de la vigencia 2024 fueron deflactados teniendo como base el </w:t>
      </w:r>
      <w:r>
        <w:rPr>
          <w:rFonts w:ascii="Arial" w:eastAsia="Arial" w:hAnsi="Arial" w:cs="Arial"/>
          <w:i/>
          <w:color w:val="333333"/>
          <w:sz w:val="22"/>
          <w:szCs w:val="22"/>
          <w:highlight w:val="white"/>
        </w:rPr>
        <w:t xml:space="preserve">Índice de Precios al Consumidor para todos los consumidores urbanos de los Estados Unidos de América </w:t>
      </w:r>
      <w:r>
        <w:rPr>
          <w:rFonts w:ascii="Arial" w:eastAsia="Arial" w:hAnsi="Arial" w:cs="Arial"/>
          <w:sz w:val="22"/>
          <w:szCs w:val="22"/>
        </w:rPr>
        <w:t>CPI-U, publicado por la Oficina de Estadísticas Laborales de ese país (</w:t>
      </w:r>
      <w:hyperlink r:id="rId13">
        <w:r>
          <w:rPr>
            <w:rFonts w:ascii="Arial" w:eastAsia="Arial" w:hAnsi="Arial" w:cs="Arial"/>
            <w:color w:val="1155CC"/>
            <w:sz w:val="22"/>
            <w:szCs w:val="22"/>
            <w:u w:val="single"/>
          </w:rPr>
          <w:t>https://data.bls.gov/dataViewer/view/timeseries/CUUR0000SA0</w:t>
        </w:r>
      </w:hyperlink>
      <w:r>
        <w:rPr>
          <w:rFonts w:ascii="Arial" w:eastAsia="Arial" w:hAnsi="Arial" w:cs="Arial"/>
          <w:sz w:val="22"/>
          <w:szCs w:val="22"/>
        </w:rPr>
        <w:t>) de diciembre de 2023.</w:t>
      </w:r>
    </w:p>
    <w:p w14:paraId="2996DA76" w14:textId="77777777" w:rsidR="004B2136" w:rsidRDefault="004B2136">
      <w:pPr>
        <w:jc w:val="center"/>
        <w:rPr>
          <w:rFonts w:ascii="Arial" w:eastAsia="Arial" w:hAnsi="Arial" w:cs="Arial"/>
          <w:sz w:val="22"/>
          <w:szCs w:val="22"/>
        </w:rPr>
      </w:pPr>
    </w:p>
    <w:sdt>
      <w:sdtPr>
        <w:rPr>
          <w:rFonts w:ascii="Times New Roman" w:eastAsia="Times New Roman" w:hAnsi="Times New Roman" w:cs="Times New Roman"/>
        </w:rPr>
        <w:tag w:val="goog_rdk_33"/>
        <w:id w:val="-1458094271"/>
        <w:lock w:val="contentLocked"/>
      </w:sdtPr>
      <w:sdtEndPr/>
      <w:sdtContent>
        <w:tbl>
          <w:tblPr>
            <w:tblStyle w:val="a6"/>
            <w:tblW w:w="506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33"/>
            <w:gridCol w:w="2534"/>
          </w:tblGrid>
          <w:tr w:rsidR="004B2136" w14:paraId="637C7F1C" w14:textId="77777777">
            <w:trPr>
              <w:trHeight w:val="855"/>
              <w:jc w:val="center"/>
            </w:trPr>
            <w:sdt>
              <w:sdtPr>
                <w:rPr>
                  <w:rFonts w:ascii="Times New Roman" w:eastAsia="Times New Roman" w:hAnsi="Times New Roman" w:cs="Times New Roman"/>
                </w:rPr>
                <w:tag w:val="goog_rdk_7"/>
                <w:id w:val="-822274325"/>
                <w:lock w:val="contentLocked"/>
              </w:sdtPr>
              <w:sdtEndPr>
                <w:rPr>
                  <w:rFonts w:ascii="Calibri" w:eastAsia="Calibri" w:hAnsi="Calibri" w:cs="Calibri"/>
                </w:rPr>
              </w:sdtEndPr>
              <w:sdtContent>
                <w:tc>
                  <w:tcPr>
                    <w:tcW w:w="2533" w:type="dxa"/>
                    <w:tcBorders>
                      <w:top w:val="nil"/>
                      <w:left w:val="nil"/>
                      <w:bottom w:val="single" w:sz="7" w:space="0" w:color="000000"/>
                      <w:right w:val="nil"/>
                    </w:tcBorders>
                    <w:shd w:val="clear" w:color="auto" w:fill="274E13"/>
                    <w:tcMar>
                      <w:top w:w="0" w:type="dxa"/>
                      <w:left w:w="40" w:type="dxa"/>
                      <w:bottom w:w="0" w:type="dxa"/>
                      <w:right w:w="40" w:type="dxa"/>
                    </w:tcMar>
                    <w:vAlign w:val="center"/>
                  </w:tcPr>
                  <w:p w14:paraId="1B479A6A" w14:textId="77777777" w:rsidR="004B2136" w:rsidRDefault="001675E9">
                    <w:pPr>
                      <w:widowControl w:val="0"/>
                      <w:spacing w:line="276" w:lineRule="auto"/>
                      <w:jc w:val="center"/>
                      <w:rPr>
                        <w:rFonts w:ascii="Arial" w:eastAsia="Arial" w:hAnsi="Arial" w:cs="Arial"/>
                      </w:rPr>
                    </w:pPr>
                    <w:r>
                      <w:rPr>
                        <w:rFonts w:ascii="Arial" w:eastAsia="Arial" w:hAnsi="Arial" w:cs="Arial"/>
                        <w:b/>
                        <w:color w:val="FFFFFF"/>
                      </w:rPr>
                      <w:t>MES</w:t>
                    </w:r>
                  </w:p>
                </w:tc>
              </w:sdtContent>
            </w:sdt>
            <w:sdt>
              <w:sdtPr>
                <w:tag w:val="goog_rdk_8"/>
                <w:id w:val="-1847629444"/>
                <w:lock w:val="contentLocked"/>
              </w:sdtPr>
              <w:sdtEndPr/>
              <w:sdtContent>
                <w:tc>
                  <w:tcPr>
                    <w:tcW w:w="2534" w:type="dxa"/>
                    <w:tcBorders>
                      <w:top w:val="nil"/>
                      <w:left w:val="nil"/>
                      <w:bottom w:val="single" w:sz="7" w:space="0" w:color="000000"/>
                      <w:right w:val="nil"/>
                    </w:tcBorders>
                    <w:shd w:val="clear" w:color="auto" w:fill="274E13"/>
                    <w:tcMar>
                      <w:top w:w="0" w:type="dxa"/>
                      <w:left w:w="40" w:type="dxa"/>
                      <w:bottom w:w="0" w:type="dxa"/>
                      <w:right w:w="40" w:type="dxa"/>
                    </w:tcMar>
                    <w:vAlign w:val="center"/>
                  </w:tcPr>
                  <w:p w14:paraId="24FB9B2B" w14:textId="77777777" w:rsidR="004B2136" w:rsidRDefault="001675E9">
                    <w:pPr>
                      <w:widowControl w:val="0"/>
                      <w:spacing w:line="276" w:lineRule="auto"/>
                      <w:jc w:val="center"/>
                      <w:rPr>
                        <w:rFonts w:ascii="Arial" w:eastAsia="Arial" w:hAnsi="Arial" w:cs="Arial"/>
                      </w:rPr>
                    </w:pPr>
                    <w:r>
                      <w:rPr>
                        <w:rFonts w:ascii="Arial" w:eastAsia="Arial" w:hAnsi="Arial" w:cs="Arial"/>
                        <w:b/>
                        <w:color w:val="FFFFFF"/>
                      </w:rPr>
                      <w:t>PRECIO PROMEDIO DEFLACTADO</w:t>
                    </w:r>
                  </w:p>
                </w:tc>
              </w:sdtContent>
            </w:sdt>
          </w:tr>
          <w:tr w:rsidR="004B2136" w14:paraId="43BC15E5" w14:textId="77777777">
            <w:trPr>
              <w:trHeight w:val="300"/>
              <w:jc w:val="center"/>
            </w:trPr>
            <w:sdt>
              <w:sdtPr>
                <w:tag w:val="goog_rdk_9"/>
                <w:id w:val="191195412"/>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A2541BE" w14:textId="77777777" w:rsidR="004B2136" w:rsidRDefault="001675E9">
                    <w:pPr>
                      <w:widowControl w:val="0"/>
                      <w:spacing w:line="276" w:lineRule="auto"/>
                      <w:jc w:val="center"/>
                      <w:rPr>
                        <w:rFonts w:ascii="Arial" w:eastAsia="Arial" w:hAnsi="Arial" w:cs="Arial"/>
                      </w:rPr>
                    </w:pPr>
                    <w:r>
                      <w:rPr>
                        <w:rFonts w:ascii="Arial" w:eastAsia="Arial" w:hAnsi="Arial" w:cs="Arial"/>
                        <w:b/>
                      </w:rPr>
                      <w:t>ene-24</w:t>
                    </w:r>
                  </w:p>
                </w:tc>
              </w:sdtContent>
            </w:sdt>
            <w:sdt>
              <w:sdtPr>
                <w:tag w:val="goog_rdk_10"/>
                <w:id w:val="-1890333786"/>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257F76E" w14:textId="77777777" w:rsidR="004B2136" w:rsidRDefault="001675E9">
                    <w:pPr>
                      <w:widowControl w:val="0"/>
                      <w:spacing w:line="276" w:lineRule="auto"/>
                      <w:jc w:val="center"/>
                      <w:rPr>
                        <w:rFonts w:ascii="Arial" w:eastAsia="Arial" w:hAnsi="Arial" w:cs="Arial"/>
                      </w:rPr>
                    </w:pPr>
                    <w:r>
                      <w:rPr>
                        <w:rFonts w:ascii="Arial" w:eastAsia="Arial" w:hAnsi="Arial" w:cs="Arial"/>
                      </w:rPr>
                      <w:t>91,47</w:t>
                    </w:r>
                  </w:p>
                </w:tc>
              </w:sdtContent>
            </w:sdt>
          </w:tr>
          <w:tr w:rsidR="004B2136" w14:paraId="6B360564" w14:textId="77777777">
            <w:trPr>
              <w:trHeight w:val="300"/>
              <w:jc w:val="center"/>
            </w:trPr>
            <w:sdt>
              <w:sdtPr>
                <w:tag w:val="goog_rdk_11"/>
                <w:id w:val="-141899171"/>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1A0D15A" w14:textId="77777777" w:rsidR="004B2136" w:rsidRDefault="001675E9">
                    <w:pPr>
                      <w:widowControl w:val="0"/>
                      <w:spacing w:line="276" w:lineRule="auto"/>
                      <w:jc w:val="center"/>
                      <w:rPr>
                        <w:rFonts w:ascii="Arial" w:eastAsia="Arial" w:hAnsi="Arial" w:cs="Arial"/>
                      </w:rPr>
                    </w:pPr>
                    <w:r>
                      <w:rPr>
                        <w:rFonts w:ascii="Arial" w:eastAsia="Arial" w:hAnsi="Arial" w:cs="Arial"/>
                        <w:b/>
                      </w:rPr>
                      <w:t>feb-24</w:t>
                    </w:r>
                  </w:p>
                </w:tc>
              </w:sdtContent>
            </w:sdt>
            <w:sdt>
              <w:sdtPr>
                <w:tag w:val="goog_rdk_12"/>
                <w:id w:val="-1186201561"/>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18C3766" w14:textId="77777777" w:rsidR="004B2136" w:rsidRDefault="001675E9">
                    <w:pPr>
                      <w:widowControl w:val="0"/>
                      <w:spacing w:line="276" w:lineRule="auto"/>
                      <w:jc w:val="center"/>
                      <w:rPr>
                        <w:rFonts w:ascii="Arial" w:eastAsia="Arial" w:hAnsi="Arial" w:cs="Arial"/>
                      </w:rPr>
                    </w:pPr>
                    <w:r>
                      <w:rPr>
                        <w:rFonts w:ascii="Arial" w:eastAsia="Arial" w:hAnsi="Arial" w:cs="Arial"/>
                      </w:rPr>
                      <w:t>81,37</w:t>
                    </w:r>
                  </w:p>
                </w:tc>
              </w:sdtContent>
            </w:sdt>
          </w:tr>
          <w:tr w:rsidR="004B2136" w14:paraId="5EDE26A3" w14:textId="77777777">
            <w:trPr>
              <w:trHeight w:val="300"/>
              <w:jc w:val="center"/>
            </w:trPr>
            <w:sdt>
              <w:sdtPr>
                <w:tag w:val="goog_rdk_13"/>
                <w:id w:val="809913030"/>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279B628" w14:textId="77777777" w:rsidR="004B2136" w:rsidRDefault="001675E9">
                    <w:pPr>
                      <w:widowControl w:val="0"/>
                      <w:spacing w:line="276" w:lineRule="auto"/>
                      <w:jc w:val="center"/>
                      <w:rPr>
                        <w:rFonts w:ascii="Arial" w:eastAsia="Arial" w:hAnsi="Arial" w:cs="Arial"/>
                      </w:rPr>
                    </w:pPr>
                    <w:r>
                      <w:rPr>
                        <w:rFonts w:ascii="Arial" w:eastAsia="Arial" w:hAnsi="Arial" w:cs="Arial"/>
                        <w:b/>
                      </w:rPr>
                      <w:t>mar-24</w:t>
                    </w:r>
                  </w:p>
                </w:tc>
              </w:sdtContent>
            </w:sdt>
            <w:sdt>
              <w:sdtPr>
                <w:tag w:val="goog_rdk_14"/>
                <w:id w:val="-252590758"/>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24DD480" w14:textId="77777777" w:rsidR="004B2136" w:rsidRDefault="001675E9">
                    <w:pPr>
                      <w:widowControl w:val="0"/>
                      <w:spacing w:line="276" w:lineRule="auto"/>
                      <w:jc w:val="center"/>
                      <w:rPr>
                        <w:rFonts w:ascii="Arial" w:eastAsia="Arial" w:hAnsi="Arial" w:cs="Arial"/>
                      </w:rPr>
                    </w:pPr>
                    <w:r>
                      <w:rPr>
                        <w:rFonts w:ascii="Arial" w:eastAsia="Arial" w:hAnsi="Arial" w:cs="Arial"/>
                      </w:rPr>
                      <w:t>97,77</w:t>
                    </w:r>
                  </w:p>
                </w:tc>
              </w:sdtContent>
            </w:sdt>
          </w:tr>
          <w:tr w:rsidR="004B2136" w14:paraId="6F7E6878" w14:textId="77777777">
            <w:trPr>
              <w:trHeight w:val="300"/>
              <w:jc w:val="center"/>
            </w:trPr>
            <w:sdt>
              <w:sdtPr>
                <w:tag w:val="goog_rdk_15"/>
                <w:id w:val="2063517560"/>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B7D29E3" w14:textId="77777777" w:rsidR="004B2136" w:rsidRDefault="001675E9">
                    <w:pPr>
                      <w:widowControl w:val="0"/>
                      <w:spacing w:line="276" w:lineRule="auto"/>
                      <w:jc w:val="center"/>
                      <w:rPr>
                        <w:rFonts w:ascii="Arial" w:eastAsia="Arial" w:hAnsi="Arial" w:cs="Arial"/>
                      </w:rPr>
                    </w:pPr>
                    <w:r>
                      <w:rPr>
                        <w:rFonts w:ascii="Arial" w:eastAsia="Arial" w:hAnsi="Arial" w:cs="Arial"/>
                        <w:b/>
                      </w:rPr>
                      <w:t>abr-24</w:t>
                    </w:r>
                  </w:p>
                </w:tc>
              </w:sdtContent>
            </w:sdt>
            <w:sdt>
              <w:sdtPr>
                <w:tag w:val="goog_rdk_16"/>
                <w:id w:val="-1692592265"/>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BBCA7CE" w14:textId="77777777" w:rsidR="004B2136" w:rsidRDefault="001675E9">
                    <w:pPr>
                      <w:widowControl w:val="0"/>
                      <w:spacing w:line="276" w:lineRule="auto"/>
                      <w:jc w:val="center"/>
                      <w:rPr>
                        <w:rFonts w:ascii="Arial" w:eastAsia="Arial" w:hAnsi="Arial" w:cs="Arial"/>
                      </w:rPr>
                    </w:pPr>
                    <w:r>
                      <w:rPr>
                        <w:rFonts w:ascii="Arial" w:eastAsia="Arial" w:hAnsi="Arial" w:cs="Arial"/>
                      </w:rPr>
                      <w:t>105,47</w:t>
                    </w:r>
                  </w:p>
                </w:tc>
              </w:sdtContent>
            </w:sdt>
          </w:tr>
          <w:tr w:rsidR="004B2136" w14:paraId="583522B2" w14:textId="77777777">
            <w:trPr>
              <w:trHeight w:val="300"/>
              <w:jc w:val="center"/>
            </w:trPr>
            <w:sdt>
              <w:sdtPr>
                <w:tag w:val="goog_rdk_17"/>
                <w:id w:val="-2064316915"/>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F7AAD3E" w14:textId="77777777" w:rsidR="004B2136" w:rsidRDefault="001675E9">
                    <w:pPr>
                      <w:widowControl w:val="0"/>
                      <w:spacing w:line="276" w:lineRule="auto"/>
                      <w:jc w:val="center"/>
                      <w:rPr>
                        <w:rFonts w:ascii="Arial" w:eastAsia="Arial" w:hAnsi="Arial" w:cs="Arial"/>
                      </w:rPr>
                    </w:pPr>
                    <w:r>
                      <w:rPr>
                        <w:rFonts w:ascii="Arial" w:eastAsia="Arial" w:hAnsi="Arial" w:cs="Arial"/>
                        <w:b/>
                      </w:rPr>
                      <w:t>may-24</w:t>
                    </w:r>
                  </w:p>
                </w:tc>
              </w:sdtContent>
            </w:sdt>
            <w:sdt>
              <w:sdtPr>
                <w:tag w:val="goog_rdk_18"/>
                <w:id w:val="1945951104"/>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05501DD" w14:textId="77777777" w:rsidR="004B2136" w:rsidRDefault="001675E9">
                    <w:pPr>
                      <w:widowControl w:val="0"/>
                      <w:spacing w:line="276" w:lineRule="auto"/>
                      <w:jc w:val="center"/>
                      <w:rPr>
                        <w:rFonts w:ascii="Arial" w:eastAsia="Arial" w:hAnsi="Arial" w:cs="Arial"/>
                      </w:rPr>
                    </w:pPr>
                    <w:r>
                      <w:rPr>
                        <w:rFonts w:ascii="Arial" w:eastAsia="Arial" w:hAnsi="Arial" w:cs="Arial"/>
                      </w:rPr>
                      <w:t>91,10</w:t>
                    </w:r>
                  </w:p>
                </w:tc>
              </w:sdtContent>
            </w:sdt>
          </w:tr>
          <w:tr w:rsidR="004B2136" w14:paraId="39A1F3EF" w14:textId="77777777">
            <w:trPr>
              <w:trHeight w:val="300"/>
              <w:jc w:val="center"/>
            </w:trPr>
            <w:sdt>
              <w:sdtPr>
                <w:tag w:val="goog_rdk_19"/>
                <w:id w:val="411445564"/>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980F557" w14:textId="77777777" w:rsidR="004B2136" w:rsidRDefault="001675E9">
                    <w:pPr>
                      <w:widowControl w:val="0"/>
                      <w:spacing w:line="276" w:lineRule="auto"/>
                      <w:jc w:val="center"/>
                      <w:rPr>
                        <w:rFonts w:ascii="Arial" w:eastAsia="Arial" w:hAnsi="Arial" w:cs="Arial"/>
                      </w:rPr>
                    </w:pPr>
                    <w:r>
                      <w:rPr>
                        <w:rFonts w:ascii="Arial" w:eastAsia="Arial" w:hAnsi="Arial" w:cs="Arial"/>
                        <w:b/>
                      </w:rPr>
                      <w:t>jun-24</w:t>
                    </w:r>
                  </w:p>
                </w:tc>
              </w:sdtContent>
            </w:sdt>
            <w:sdt>
              <w:sdtPr>
                <w:tag w:val="goog_rdk_20"/>
                <w:id w:val="829093351"/>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350B0F8" w14:textId="77777777" w:rsidR="004B2136" w:rsidRDefault="001675E9">
                    <w:pPr>
                      <w:widowControl w:val="0"/>
                      <w:spacing w:line="276" w:lineRule="auto"/>
                      <w:jc w:val="center"/>
                      <w:rPr>
                        <w:rFonts w:ascii="Arial" w:eastAsia="Arial" w:hAnsi="Arial" w:cs="Arial"/>
                      </w:rPr>
                    </w:pPr>
                    <w:r>
                      <w:rPr>
                        <w:rFonts w:ascii="Arial" w:eastAsia="Arial" w:hAnsi="Arial" w:cs="Arial"/>
                      </w:rPr>
                      <w:t>94,70</w:t>
                    </w:r>
                  </w:p>
                </w:tc>
              </w:sdtContent>
            </w:sdt>
          </w:tr>
          <w:tr w:rsidR="004B2136" w14:paraId="3EE6B745" w14:textId="77777777">
            <w:trPr>
              <w:trHeight w:val="300"/>
              <w:jc w:val="center"/>
            </w:trPr>
            <w:sdt>
              <w:sdtPr>
                <w:tag w:val="goog_rdk_21"/>
                <w:id w:val="177389677"/>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517E980" w14:textId="77777777" w:rsidR="004B2136" w:rsidRDefault="001675E9">
                    <w:pPr>
                      <w:widowControl w:val="0"/>
                      <w:spacing w:line="276" w:lineRule="auto"/>
                      <w:jc w:val="center"/>
                      <w:rPr>
                        <w:rFonts w:ascii="Arial" w:eastAsia="Arial" w:hAnsi="Arial" w:cs="Arial"/>
                      </w:rPr>
                    </w:pPr>
                    <w:r>
                      <w:rPr>
                        <w:rFonts w:ascii="Arial" w:eastAsia="Arial" w:hAnsi="Arial" w:cs="Arial"/>
                        <w:b/>
                      </w:rPr>
                      <w:t>jul-24</w:t>
                    </w:r>
                  </w:p>
                </w:tc>
              </w:sdtContent>
            </w:sdt>
            <w:sdt>
              <w:sdtPr>
                <w:tag w:val="goog_rdk_22"/>
                <w:id w:val="1899543753"/>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658687" w14:textId="77777777" w:rsidR="004B2136" w:rsidRDefault="001675E9">
                    <w:pPr>
                      <w:widowControl w:val="0"/>
                      <w:spacing w:line="276" w:lineRule="auto"/>
                      <w:jc w:val="center"/>
                      <w:rPr>
                        <w:rFonts w:ascii="Arial" w:eastAsia="Arial" w:hAnsi="Arial" w:cs="Arial"/>
                      </w:rPr>
                    </w:pPr>
                    <w:r>
                      <w:rPr>
                        <w:rFonts w:ascii="Arial" w:eastAsia="Arial" w:hAnsi="Arial" w:cs="Arial"/>
                      </w:rPr>
                      <w:t>90,40</w:t>
                    </w:r>
                  </w:p>
                </w:tc>
              </w:sdtContent>
            </w:sdt>
          </w:tr>
          <w:tr w:rsidR="004B2136" w14:paraId="12010A97" w14:textId="77777777">
            <w:trPr>
              <w:trHeight w:val="300"/>
              <w:jc w:val="center"/>
            </w:trPr>
            <w:sdt>
              <w:sdtPr>
                <w:tag w:val="goog_rdk_23"/>
                <w:id w:val="-735548632"/>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4119DD2" w14:textId="77777777" w:rsidR="004B2136" w:rsidRDefault="001675E9">
                    <w:pPr>
                      <w:widowControl w:val="0"/>
                      <w:spacing w:line="276" w:lineRule="auto"/>
                      <w:jc w:val="center"/>
                      <w:rPr>
                        <w:rFonts w:ascii="Arial" w:eastAsia="Arial" w:hAnsi="Arial" w:cs="Arial"/>
                      </w:rPr>
                    </w:pPr>
                    <w:r>
                      <w:rPr>
                        <w:rFonts w:ascii="Arial" w:eastAsia="Arial" w:hAnsi="Arial" w:cs="Arial"/>
                        <w:b/>
                      </w:rPr>
                      <w:t>ago-24</w:t>
                    </w:r>
                  </w:p>
                </w:tc>
              </w:sdtContent>
            </w:sdt>
            <w:sdt>
              <w:sdtPr>
                <w:tag w:val="goog_rdk_24"/>
                <w:id w:val="698735916"/>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2E04D45" w14:textId="77777777" w:rsidR="004B2136" w:rsidRDefault="001675E9">
                    <w:pPr>
                      <w:widowControl w:val="0"/>
                      <w:spacing w:line="276" w:lineRule="auto"/>
                      <w:jc w:val="center"/>
                      <w:rPr>
                        <w:rFonts w:ascii="Arial" w:eastAsia="Arial" w:hAnsi="Arial" w:cs="Arial"/>
                      </w:rPr>
                    </w:pPr>
                    <w:r>
                      <w:rPr>
                        <w:rFonts w:ascii="Arial" w:eastAsia="Arial" w:hAnsi="Arial" w:cs="Arial"/>
                      </w:rPr>
                      <w:t>107,92</w:t>
                    </w:r>
                  </w:p>
                </w:tc>
              </w:sdtContent>
            </w:sdt>
          </w:tr>
          <w:tr w:rsidR="004B2136" w14:paraId="208D5861" w14:textId="77777777">
            <w:trPr>
              <w:trHeight w:val="300"/>
              <w:jc w:val="center"/>
            </w:trPr>
            <w:sdt>
              <w:sdtPr>
                <w:tag w:val="goog_rdk_25"/>
                <w:id w:val="1112173771"/>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CFFF103" w14:textId="77777777" w:rsidR="004B2136" w:rsidRDefault="001675E9">
                    <w:pPr>
                      <w:widowControl w:val="0"/>
                      <w:spacing w:line="276" w:lineRule="auto"/>
                      <w:jc w:val="center"/>
                      <w:rPr>
                        <w:rFonts w:ascii="Arial" w:eastAsia="Arial" w:hAnsi="Arial" w:cs="Arial"/>
                      </w:rPr>
                    </w:pPr>
                    <w:r>
                      <w:rPr>
                        <w:rFonts w:ascii="Arial" w:eastAsia="Arial" w:hAnsi="Arial" w:cs="Arial"/>
                        <w:b/>
                      </w:rPr>
                      <w:t>sept-24</w:t>
                    </w:r>
                  </w:p>
                </w:tc>
              </w:sdtContent>
            </w:sdt>
            <w:sdt>
              <w:sdtPr>
                <w:tag w:val="goog_rdk_26"/>
                <w:id w:val="-79692768"/>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1CDD5BC" w14:textId="77777777" w:rsidR="004B2136" w:rsidRDefault="001675E9">
                    <w:pPr>
                      <w:widowControl w:val="0"/>
                      <w:spacing w:line="276" w:lineRule="auto"/>
                      <w:jc w:val="center"/>
                      <w:rPr>
                        <w:rFonts w:ascii="Arial" w:eastAsia="Arial" w:hAnsi="Arial" w:cs="Arial"/>
                      </w:rPr>
                    </w:pPr>
                    <w:r>
                      <w:rPr>
                        <w:rFonts w:ascii="Arial" w:eastAsia="Arial" w:hAnsi="Arial" w:cs="Arial"/>
                      </w:rPr>
                      <w:t>99,60</w:t>
                    </w:r>
                  </w:p>
                </w:tc>
              </w:sdtContent>
            </w:sdt>
          </w:tr>
          <w:tr w:rsidR="004B2136" w14:paraId="0DA2DF58" w14:textId="77777777">
            <w:trPr>
              <w:trHeight w:val="300"/>
              <w:jc w:val="center"/>
            </w:trPr>
            <w:sdt>
              <w:sdtPr>
                <w:tag w:val="goog_rdk_27"/>
                <w:id w:val="-682201412"/>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98434DD" w14:textId="77777777" w:rsidR="004B2136" w:rsidRDefault="001675E9">
                    <w:pPr>
                      <w:widowControl w:val="0"/>
                      <w:spacing w:line="276" w:lineRule="auto"/>
                      <w:jc w:val="center"/>
                      <w:rPr>
                        <w:rFonts w:ascii="Arial" w:eastAsia="Arial" w:hAnsi="Arial" w:cs="Arial"/>
                      </w:rPr>
                    </w:pPr>
                    <w:r>
                      <w:rPr>
                        <w:rFonts w:ascii="Arial" w:eastAsia="Arial" w:hAnsi="Arial" w:cs="Arial"/>
                        <w:b/>
                      </w:rPr>
                      <w:t>oct-24</w:t>
                    </w:r>
                  </w:p>
                </w:tc>
              </w:sdtContent>
            </w:sdt>
            <w:sdt>
              <w:sdtPr>
                <w:tag w:val="goog_rdk_28"/>
                <w:id w:val="1768502599"/>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FECE1E6" w14:textId="77777777" w:rsidR="004B2136" w:rsidRDefault="001675E9">
                    <w:pPr>
                      <w:widowControl w:val="0"/>
                      <w:spacing w:line="276" w:lineRule="auto"/>
                      <w:jc w:val="center"/>
                      <w:rPr>
                        <w:rFonts w:ascii="Arial" w:eastAsia="Arial" w:hAnsi="Arial" w:cs="Arial"/>
                      </w:rPr>
                    </w:pPr>
                    <w:r>
                      <w:rPr>
                        <w:rFonts w:ascii="Arial" w:eastAsia="Arial" w:hAnsi="Arial" w:cs="Arial"/>
                      </w:rPr>
                      <w:t>104,52</w:t>
                    </w:r>
                  </w:p>
                </w:tc>
              </w:sdtContent>
            </w:sdt>
          </w:tr>
          <w:tr w:rsidR="004B2136" w14:paraId="7FA5AC3B" w14:textId="77777777">
            <w:trPr>
              <w:trHeight w:val="300"/>
              <w:jc w:val="center"/>
            </w:trPr>
            <w:sdt>
              <w:sdtPr>
                <w:tag w:val="goog_rdk_29"/>
                <w:id w:val="879204338"/>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C5EDB95" w14:textId="77777777" w:rsidR="004B2136" w:rsidRDefault="001675E9">
                    <w:pPr>
                      <w:widowControl w:val="0"/>
                      <w:spacing w:line="276" w:lineRule="auto"/>
                      <w:jc w:val="center"/>
                      <w:rPr>
                        <w:rFonts w:ascii="Arial" w:eastAsia="Arial" w:hAnsi="Arial" w:cs="Arial"/>
                      </w:rPr>
                    </w:pPr>
                    <w:r>
                      <w:rPr>
                        <w:rFonts w:ascii="Arial" w:eastAsia="Arial" w:hAnsi="Arial" w:cs="Arial"/>
                        <w:b/>
                      </w:rPr>
                      <w:t>nov-24</w:t>
                    </w:r>
                  </w:p>
                </w:tc>
              </w:sdtContent>
            </w:sdt>
            <w:sdt>
              <w:sdtPr>
                <w:tag w:val="goog_rdk_30"/>
                <w:id w:val="1958682068"/>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E1AA7D7" w14:textId="77777777" w:rsidR="004B2136" w:rsidRDefault="001675E9">
                    <w:pPr>
                      <w:widowControl w:val="0"/>
                      <w:spacing w:line="276" w:lineRule="auto"/>
                      <w:jc w:val="center"/>
                      <w:rPr>
                        <w:rFonts w:ascii="Arial" w:eastAsia="Arial" w:hAnsi="Arial" w:cs="Arial"/>
                      </w:rPr>
                    </w:pPr>
                    <w:r>
                      <w:rPr>
                        <w:rFonts w:ascii="Arial" w:eastAsia="Arial" w:hAnsi="Arial" w:cs="Arial"/>
                      </w:rPr>
                      <w:t>106,87</w:t>
                    </w:r>
                  </w:p>
                </w:tc>
              </w:sdtContent>
            </w:sdt>
          </w:tr>
          <w:tr w:rsidR="004B2136" w14:paraId="0405FEFC" w14:textId="77777777">
            <w:trPr>
              <w:trHeight w:val="300"/>
              <w:jc w:val="center"/>
            </w:trPr>
            <w:sdt>
              <w:sdtPr>
                <w:tag w:val="goog_rdk_31"/>
                <w:id w:val="-1543813132"/>
                <w:lock w:val="contentLocked"/>
              </w:sdtPr>
              <w:sdtEndPr/>
              <w:sdtContent>
                <w:tc>
                  <w:tcPr>
                    <w:tcW w:w="253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1CD5E6E" w14:textId="77777777" w:rsidR="004B2136" w:rsidRDefault="001675E9">
                    <w:pPr>
                      <w:widowControl w:val="0"/>
                      <w:spacing w:line="276" w:lineRule="auto"/>
                      <w:jc w:val="center"/>
                      <w:rPr>
                        <w:rFonts w:ascii="Arial" w:eastAsia="Arial" w:hAnsi="Arial" w:cs="Arial"/>
                      </w:rPr>
                    </w:pPr>
                    <w:r>
                      <w:rPr>
                        <w:rFonts w:ascii="Arial" w:eastAsia="Arial" w:hAnsi="Arial" w:cs="Arial"/>
                        <w:b/>
                      </w:rPr>
                      <w:t>dic-24</w:t>
                    </w:r>
                  </w:p>
                </w:tc>
              </w:sdtContent>
            </w:sdt>
            <w:sdt>
              <w:sdtPr>
                <w:tag w:val="goog_rdk_32"/>
                <w:id w:val="-1523309486"/>
                <w:lock w:val="contentLocked"/>
              </w:sdtPr>
              <w:sdtEndPr/>
              <w:sdtContent>
                <w:tc>
                  <w:tcPr>
                    <w:tcW w:w="2534"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bottom"/>
                  </w:tcPr>
                  <w:p w14:paraId="0EAC5358" w14:textId="77777777" w:rsidR="004B2136" w:rsidRDefault="001675E9">
                    <w:pPr>
                      <w:widowControl w:val="0"/>
                      <w:spacing w:line="276" w:lineRule="auto"/>
                      <w:jc w:val="center"/>
                      <w:rPr>
                        <w:rFonts w:ascii="Arial" w:eastAsia="Arial" w:hAnsi="Arial" w:cs="Arial"/>
                      </w:rPr>
                    </w:pPr>
                    <w:r>
                      <w:rPr>
                        <w:rFonts w:ascii="Arial" w:eastAsia="Arial" w:hAnsi="Arial" w:cs="Arial"/>
                      </w:rPr>
                      <w:t>99,40</w:t>
                    </w:r>
                  </w:p>
                </w:tc>
              </w:sdtContent>
            </w:sdt>
          </w:tr>
        </w:tbl>
      </w:sdtContent>
    </w:sdt>
    <w:p w14:paraId="7513BCDF" w14:textId="77777777" w:rsidR="004B2136" w:rsidRDefault="004B2136">
      <w:pPr>
        <w:rPr>
          <w:rFonts w:ascii="Arial" w:eastAsia="Arial" w:hAnsi="Arial" w:cs="Arial"/>
          <w:sz w:val="16"/>
          <w:szCs w:val="16"/>
        </w:rPr>
      </w:pPr>
    </w:p>
    <w:p w14:paraId="1141A11D" w14:textId="77777777" w:rsidR="004B2136" w:rsidRPr="001675E9" w:rsidRDefault="001675E9">
      <w:pPr>
        <w:jc w:val="center"/>
        <w:rPr>
          <w:rFonts w:ascii="Arial" w:eastAsia="Arial" w:hAnsi="Arial" w:cs="Arial"/>
          <w:sz w:val="16"/>
          <w:szCs w:val="16"/>
          <w:lang w:val="en-US"/>
        </w:rPr>
      </w:pPr>
      <w:proofErr w:type="spellStart"/>
      <w:r w:rsidRPr="001675E9">
        <w:rPr>
          <w:rFonts w:ascii="Arial" w:eastAsia="Arial" w:hAnsi="Arial" w:cs="Arial"/>
          <w:sz w:val="16"/>
          <w:szCs w:val="16"/>
          <w:lang w:val="en-US"/>
        </w:rPr>
        <w:t>Cálculos</w:t>
      </w:r>
      <w:proofErr w:type="spellEnd"/>
      <w:r w:rsidRPr="001675E9">
        <w:rPr>
          <w:rFonts w:ascii="Arial" w:eastAsia="Arial" w:hAnsi="Arial" w:cs="Arial"/>
          <w:sz w:val="16"/>
          <w:szCs w:val="16"/>
          <w:lang w:val="en-US"/>
        </w:rPr>
        <w:t xml:space="preserve"> UPME, Fuente: Argus Media, Baltic Exchange y U.S Bureau of Labor </w:t>
      </w:r>
      <w:proofErr w:type="spellStart"/>
      <w:r w:rsidRPr="001675E9">
        <w:rPr>
          <w:rFonts w:ascii="Arial" w:eastAsia="Arial" w:hAnsi="Arial" w:cs="Arial"/>
          <w:sz w:val="16"/>
          <w:szCs w:val="16"/>
          <w:lang w:val="en-US"/>
        </w:rPr>
        <w:t>Stadistics</w:t>
      </w:r>
      <w:proofErr w:type="spellEnd"/>
    </w:p>
    <w:p w14:paraId="1DCE90CE" w14:textId="77777777" w:rsidR="004B2136" w:rsidRPr="001675E9" w:rsidRDefault="004B2136">
      <w:pPr>
        <w:jc w:val="center"/>
        <w:rPr>
          <w:rFonts w:ascii="Arial" w:eastAsia="Arial" w:hAnsi="Arial" w:cs="Arial"/>
          <w:sz w:val="22"/>
          <w:szCs w:val="22"/>
          <w:lang w:val="en-US"/>
        </w:rPr>
      </w:pPr>
    </w:p>
    <w:p w14:paraId="1895FC51" w14:textId="77777777" w:rsidR="004B2136" w:rsidRDefault="001675E9">
      <w:pPr>
        <w:jc w:val="both"/>
        <w:rPr>
          <w:rFonts w:ascii="Arial" w:eastAsia="Arial" w:hAnsi="Arial" w:cs="Arial"/>
          <w:sz w:val="22"/>
          <w:szCs w:val="22"/>
        </w:rPr>
      </w:pPr>
      <w:r>
        <w:rPr>
          <w:rFonts w:ascii="Arial" w:eastAsia="Arial" w:hAnsi="Arial" w:cs="Arial"/>
          <w:sz w:val="22"/>
          <w:szCs w:val="22"/>
        </w:rPr>
        <w:t>El precio promedio internacional del carbón de referencia (API2-BCI7) para el año 2024 es de $97.55 USD/Ton.</w:t>
      </w:r>
    </w:p>
    <w:p w14:paraId="4CFD5BDC" w14:textId="77777777" w:rsidR="004B2136" w:rsidRDefault="004B2136">
      <w:pPr>
        <w:jc w:val="both"/>
        <w:rPr>
          <w:rFonts w:ascii="Arial" w:eastAsia="Arial" w:hAnsi="Arial" w:cs="Arial"/>
          <w:sz w:val="22"/>
          <w:szCs w:val="22"/>
        </w:rPr>
      </w:pPr>
    </w:p>
    <w:p w14:paraId="2EB9D5BF" w14:textId="77777777" w:rsidR="004B2136" w:rsidRDefault="001675E9">
      <w:pPr>
        <w:numPr>
          <w:ilvl w:val="0"/>
          <w:numId w:val="4"/>
        </w:numPr>
        <w:jc w:val="both"/>
        <w:rPr>
          <w:rFonts w:ascii="Arial" w:eastAsia="Arial" w:hAnsi="Arial" w:cs="Arial"/>
          <w:sz w:val="22"/>
          <w:szCs w:val="22"/>
        </w:rPr>
      </w:pPr>
      <w:r>
        <w:rPr>
          <w:rFonts w:ascii="Arial" w:eastAsia="Arial" w:hAnsi="Arial" w:cs="Arial"/>
          <w:sz w:val="22"/>
          <w:szCs w:val="22"/>
        </w:rPr>
        <w:t xml:space="preserve">Tabla de percentiles precio promedio mensuales: los precios internaciones de referencia (API2-BCI7) promedio mensuales de los 120 meses anteriores al año gravable, es decir de enero de 2014 a diciembre de 2023, fueron deflactados teniendo como base el </w:t>
      </w:r>
      <w:r>
        <w:rPr>
          <w:rFonts w:ascii="Arial" w:eastAsia="Arial" w:hAnsi="Arial" w:cs="Arial"/>
          <w:i/>
          <w:color w:val="333333"/>
          <w:sz w:val="22"/>
          <w:szCs w:val="22"/>
          <w:highlight w:val="white"/>
        </w:rPr>
        <w:t xml:space="preserve">Índice de Precios al Consumidor para todos los consumidores urbanos de los Estados Unidos de América </w:t>
      </w:r>
      <w:r>
        <w:rPr>
          <w:rFonts w:ascii="Arial" w:eastAsia="Arial" w:hAnsi="Arial" w:cs="Arial"/>
          <w:sz w:val="22"/>
          <w:szCs w:val="22"/>
        </w:rPr>
        <w:t>CPI-U, publicado por la Oficina de Estadísticas Laborales de ese país  (</w:t>
      </w:r>
      <w:hyperlink r:id="rId14">
        <w:r>
          <w:rPr>
            <w:rFonts w:ascii="Arial" w:eastAsia="Arial" w:hAnsi="Arial" w:cs="Arial"/>
            <w:color w:val="1155CC"/>
            <w:sz w:val="22"/>
            <w:szCs w:val="22"/>
            <w:u w:val="single"/>
          </w:rPr>
          <w:t>https://data.bls.gov/dataViewer/view/timeseries/CUUR0000SA0</w:t>
        </w:r>
      </w:hyperlink>
      <w:r>
        <w:rPr>
          <w:rFonts w:ascii="Arial" w:eastAsia="Arial" w:hAnsi="Arial" w:cs="Arial"/>
          <w:sz w:val="22"/>
          <w:szCs w:val="22"/>
        </w:rPr>
        <w:t>) de diciembre de 2023. Obteniendo como resultado la siguiente tabla:</w:t>
      </w:r>
    </w:p>
    <w:p w14:paraId="2A49DD86" w14:textId="77777777" w:rsidR="004B2136" w:rsidRDefault="004B2136">
      <w:pPr>
        <w:jc w:val="both"/>
        <w:rPr>
          <w:rFonts w:ascii="Arial" w:eastAsia="Arial" w:hAnsi="Arial" w:cs="Arial"/>
          <w:sz w:val="22"/>
          <w:szCs w:val="22"/>
        </w:rPr>
      </w:pPr>
    </w:p>
    <w:sdt>
      <w:sdtPr>
        <w:rPr>
          <w:rFonts w:ascii="Times New Roman" w:eastAsia="Times New Roman" w:hAnsi="Times New Roman" w:cs="Times New Roman"/>
        </w:rPr>
        <w:tag w:val="goog_rdk_40"/>
        <w:id w:val="1419520555"/>
        <w:lock w:val="contentLocked"/>
      </w:sdtPr>
      <w:sdtEndPr/>
      <w:sdtContent>
        <w:tbl>
          <w:tblPr>
            <w:tblStyle w:val="a7"/>
            <w:tblW w:w="819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6375"/>
            <w:gridCol w:w="1815"/>
          </w:tblGrid>
          <w:tr w:rsidR="004B2136" w14:paraId="030797BC" w14:textId="77777777">
            <w:trPr>
              <w:trHeight w:val="315"/>
            </w:trPr>
            <w:sdt>
              <w:sdtPr>
                <w:rPr>
                  <w:rFonts w:ascii="Times New Roman" w:eastAsia="Times New Roman" w:hAnsi="Times New Roman" w:cs="Times New Roman"/>
                </w:rPr>
                <w:tag w:val="goog_rdk_34"/>
                <w:id w:val="-43527803"/>
                <w:lock w:val="contentLocked"/>
              </w:sdtPr>
              <w:sdtEndPr>
                <w:rPr>
                  <w:rFonts w:ascii="Calibri" w:eastAsia="Calibri" w:hAnsi="Calibri" w:cs="Calibri"/>
                </w:rPr>
              </w:sdtEndPr>
              <w:sdtContent>
                <w:tc>
                  <w:tcPr>
                    <w:tcW w:w="6375" w:type="dxa"/>
                    <w:tcBorders>
                      <w:top w:val="nil"/>
                      <w:left w:val="nil"/>
                      <w:bottom w:val="single" w:sz="4" w:space="0" w:color="FFFFFF"/>
                      <w:right w:val="single" w:sz="4" w:space="0" w:color="1F3864"/>
                    </w:tcBorders>
                    <w:shd w:val="clear" w:color="auto" w:fill="auto"/>
                    <w:tcMar>
                      <w:top w:w="0" w:type="dxa"/>
                      <w:left w:w="40" w:type="dxa"/>
                      <w:bottom w:w="0" w:type="dxa"/>
                      <w:right w:w="40" w:type="dxa"/>
                    </w:tcMar>
                    <w:vAlign w:val="bottom"/>
                  </w:tcPr>
                  <w:p w14:paraId="6EC42F0D" w14:textId="77777777" w:rsidR="004B2136" w:rsidRDefault="004B2136">
                    <w:pPr>
                      <w:widowControl w:val="0"/>
                      <w:spacing w:line="276" w:lineRule="auto"/>
                      <w:rPr>
                        <w:rFonts w:ascii="Arial" w:eastAsia="Arial" w:hAnsi="Arial" w:cs="Arial"/>
                      </w:rPr>
                    </w:pPr>
                  </w:p>
                </w:tc>
              </w:sdtContent>
            </w:sdt>
            <w:sdt>
              <w:sdtPr>
                <w:tag w:val="goog_rdk_35"/>
                <w:id w:val="1227728717"/>
                <w:lock w:val="contentLocked"/>
              </w:sdtPr>
              <w:sdtEndPr/>
              <w:sdtContent>
                <w:tc>
                  <w:tcPr>
                    <w:tcW w:w="1815" w:type="dxa"/>
                    <w:tcBorders>
                      <w:top w:val="single" w:sz="4" w:space="0" w:color="1F3864"/>
                      <w:left w:val="nil"/>
                      <w:bottom w:val="single" w:sz="4" w:space="0" w:color="1F3864"/>
                      <w:right w:val="single" w:sz="4" w:space="0" w:color="1F3864"/>
                    </w:tcBorders>
                    <w:shd w:val="clear" w:color="auto" w:fill="auto"/>
                    <w:tcMar>
                      <w:top w:w="0" w:type="dxa"/>
                      <w:left w:w="40" w:type="dxa"/>
                      <w:bottom w:w="0" w:type="dxa"/>
                      <w:right w:w="40" w:type="dxa"/>
                    </w:tcMar>
                    <w:vAlign w:val="bottom"/>
                  </w:tcPr>
                  <w:p w14:paraId="774DE999" w14:textId="77777777" w:rsidR="004B2136" w:rsidRDefault="001675E9">
                    <w:pPr>
                      <w:widowControl w:val="0"/>
                      <w:spacing w:line="276" w:lineRule="auto"/>
                      <w:jc w:val="center"/>
                      <w:rPr>
                        <w:rFonts w:ascii="Arial" w:eastAsia="Arial" w:hAnsi="Arial" w:cs="Arial"/>
                      </w:rPr>
                    </w:pPr>
                    <w:r>
                      <w:rPr>
                        <w:rFonts w:ascii="Arial" w:eastAsia="Arial" w:hAnsi="Arial" w:cs="Arial"/>
                        <w:b/>
                        <w:color w:val="1F3864"/>
                        <w:sz w:val="22"/>
                        <w:szCs w:val="22"/>
                      </w:rPr>
                      <w:t>USD/TON</w:t>
                    </w:r>
                  </w:p>
                </w:tc>
              </w:sdtContent>
            </w:sdt>
          </w:tr>
          <w:tr w:rsidR="004B2136" w14:paraId="7F9E4FCC" w14:textId="77777777">
            <w:sdt>
              <w:sdtPr>
                <w:tag w:val="goog_rdk_36"/>
                <w:id w:val="-1658367896"/>
                <w:lock w:val="contentLocked"/>
              </w:sdtPr>
              <w:sdtEndPr/>
              <w:sdtContent>
                <w:tc>
                  <w:tcPr>
                    <w:tcW w:w="6375" w:type="dxa"/>
                    <w:tcBorders>
                      <w:top w:val="nil"/>
                      <w:left w:val="single" w:sz="4" w:space="0" w:color="FFFFFF"/>
                      <w:bottom w:val="single" w:sz="4" w:space="0" w:color="FFFFFF"/>
                      <w:right w:val="single" w:sz="4" w:space="0" w:color="1F3864"/>
                    </w:tcBorders>
                    <w:shd w:val="clear" w:color="auto" w:fill="434343"/>
                    <w:tcMar>
                      <w:top w:w="0" w:type="dxa"/>
                      <w:left w:w="40" w:type="dxa"/>
                      <w:bottom w:w="0" w:type="dxa"/>
                      <w:right w:w="40" w:type="dxa"/>
                    </w:tcMar>
                    <w:vAlign w:val="center"/>
                  </w:tcPr>
                  <w:p w14:paraId="5554B23B" w14:textId="77777777" w:rsidR="004B2136" w:rsidRDefault="001675E9">
                    <w:pPr>
                      <w:widowControl w:val="0"/>
                      <w:spacing w:line="276" w:lineRule="auto"/>
                      <w:rPr>
                        <w:rFonts w:ascii="Arial" w:eastAsia="Arial" w:hAnsi="Arial" w:cs="Arial"/>
                      </w:rPr>
                    </w:pPr>
                    <w:r>
                      <w:rPr>
                        <w:rFonts w:ascii="Arial" w:eastAsia="Arial" w:hAnsi="Arial" w:cs="Arial"/>
                        <w:color w:val="FFFFFF"/>
                      </w:rPr>
                      <w:t>Percentil 65</w:t>
                    </w:r>
                  </w:p>
                </w:tc>
              </w:sdtContent>
            </w:sdt>
            <w:sdt>
              <w:sdtPr>
                <w:tag w:val="goog_rdk_37"/>
                <w:id w:val="-29889574"/>
                <w:lock w:val="contentLocked"/>
              </w:sdtPr>
              <w:sdtEndPr/>
              <w:sdtContent>
                <w:tc>
                  <w:tcPr>
                    <w:tcW w:w="1815" w:type="dxa"/>
                    <w:tcBorders>
                      <w:top w:val="nil"/>
                      <w:left w:val="nil"/>
                      <w:bottom w:val="single" w:sz="4" w:space="0" w:color="1F3864"/>
                      <w:right w:val="single" w:sz="4" w:space="0" w:color="1F3864"/>
                    </w:tcBorders>
                    <w:tcMar>
                      <w:top w:w="0" w:type="dxa"/>
                      <w:left w:w="40" w:type="dxa"/>
                      <w:bottom w:w="0" w:type="dxa"/>
                      <w:right w:w="40" w:type="dxa"/>
                    </w:tcMar>
                    <w:vAlign w:val="center"/>
                  </w:tcPr>
                  <w:p w14:paraId="2D465E59" w14:textId="77777777" w:rsidR="004B2136" w:rsidRDefault="001675E9">
                    <w:pPr>
                      <w:widowControl w:val="0"/>
                      <w:spacing w:line="276" w:lineRule="auto"/>
                      <w:jc w:val="center"/>
                      <w:rPr>
                        <w:rFonts w:ascii="Arial" w:eastAsia="Arial" w:hAnsi="Arial" w:cs="Arial"/>
                      </w:rPr>
                    </w:pPr>
                    <w:r>
                      <w:rPr>
                        <w:rFonts w:ascii="Arial" w:eastAsia="Arial" w:hAnsi="Arial" w:cs="Arial"/>
                        <w:sz w:val="22"/>
                        <w:szCs w:val="22"/>
                      </w:rPr>
                      <w:t>$99,92</w:t>
                    </w:r>
                  </w:p>
                </w:tc>
              </w:sdtContent>
            </w:sdt>
          </w:tr>
          <w:tr w:rsidR="004B2136" w14:paraId="0587892D" w14:textId="77777777">
            <w:trPr>
              <w:trHeight w:val="315"/>
            </w:trPr>
            <w:sdt>
              <w:sdtPr>
                <w:tag w:val="goog_rdk_38"/>
                <w:id w:val="1859840398"/>
                <w:lock w:val="contentLocked"/>
              </w:sdtPr>
              <w:sdtEndPr/>
              <w:sdtContent>
                <w:tc>
                  <w:tcPr>
                    <w:tcW w:w="6375" w:type="dxa"/>
                    <w:tcBorders>
                      <w:top w:val="nil"/>
                      <w:left w:val="single" w:sz="4" w:space="0" w:color="FFFFFF"/>
                      <w:bottom w:val="single" w:sz="4" w:space="0" w:color="FFFFFF"/>
                      <w:right w:val="single" w:sz="4" w:space="0" w:color="1F3864"/>
                    </w:tcBorders>
                    <w:shd w:val="clear" w:color="auto" w:fill="434343"/>
                    <w:tcMar>
                      <w:top w:w="0" w:type="dxa"/>
                      <w:left w:w="40" w:type="dxa"/>
                      <w:bottom w:w="0" w:type="dxa"/>
                      <w:right w:w="40" w:type="dxa"/>
                    </w:tcMar>
                    <w:vAlign w:val="center"/>
                  </w:tcPr>
                  <w:p w14:paraId="776852A5" w14:textId="77777777" w:rsidR="004B2136" w:rsidRDefault="001675E9">
                    <w:pPr>
                      <w:widowControl w:val="0"/>
                      <w:spacing w:line="276" w:lineRule="auto"/>
                      <w:rPr>
                        <w:rFonts w:ascii="Arial" w:eastAsia="Arial" w:hAnsi="Arial" w:cs="Arial"/>
                      </w:rPr>
                    </w:pPr>
                    <w:r>
                      <w:rPr>
                        <w:rFonts w:ascii="Arial" w:eastAsia="Arial" w:hAnsi="Arial" w:cs="Arial"/>
                        <w:color w:val="FFFFFF"/>
                      </w:rPr>
                      <w:t>Percentil 75</w:t>
                    </w:r>
                  </w:p>
                </w:tc>
              </w:sdtContent>
            </w:sdt>
            <w:sdt>
              <w:sdtPr>
                <w:tag w:val="goog_rdk_39"/>
                <w:id w:val="1220789600"/>
                <w:lock w:val="contentLocked"/>
              </w:sdtPr>
              <w:sdtEndPr/>
              <w:sdtContent>
                <w:tc>
                  <w:tcPr>
                    <w:tcW w:w="1815" w:type="dxa"/>
                    <w:tcBorders>
                      <w:top w:val="nil"/>
                      <w:left w:val="nil"/>
                      <w:bottom w:val="single" w:sz="4" w:space="0" w:color="1F3864"/>
                      <w:right w:val="single" w:sz="4" w:space="0" w:color="1F3864"/>
                    </w:tcBorders>
                    <w:shd w:val="clear" w:color="auto" w:fill="auto"/>
                    <w:tcMar>
                      <w:top w:w="0" w:type="dxa"/>
                      <w:left w:w="40" w:type="dxa"/>
                      <w:bottom w:w="0" w:type="dxa"/>
                      <w:right w:w="40" w:type="dxa"/>
                    </w:tcMar>
                    <w:vAlign w:val="center"/>
                  </w:tcPr>
                  <w:p w14:paraId="783788C9" w14:textId="77777777" w:rsidR="004B2136" w:rsidRDefault="001675E9">
                    <w:pPr>
                      <w:widowControl w:val="0"/>
                      <w:spacing w:line="276" w:lineRule="auto"/>
                      <w:jc w:val="center"/>
                      <w:rPr>
                        <w:rFonts w:ascii="Arial" w:eastAsia="Arial" w:hAnsi="Arial" w:cs="Arial"/>
                      </w:rPr>
                    </w:pPr>
                    <w:r>
                      <w:rPr>
                        <w:rFonts w:ascii="Arial" w:eastAsia="Arial" w:hAnsi="Arial" w:cs="Arial"/>
                        <w:sz w:val="22"/>
                        <w:szCs w:val="22"/>
                      </w:rPr>
                      <w:t>$106,98</w:t>
                    </w:r>
                  </w:p>
                </w:tc>
              </w:sdtContent>
            </w:sdt>
          </w:tr>
        </w:tbl>
      </w:sdtContent>
    </w:sdt>
    <w:p w14:paraId="3BA62418" w14:textId="77777777" w:rsidR="004B2136" w:rsidRPr="001675E9" w:rsidRDefault="001675E9">
      <w:pPr>
        <w:jc w:val="center"/>
        <w:rPr>
          <w:rFonts w:ascii="Arial" w:eastAsia="Arial" w:hAnsi="Arial" w:cs="Arial"/>
          <w:sz w:val="16"/>
          <w:szCs w:val="16"/>
          <w:lang w:val="en-US"/>
        </w:rPr>
      </w:pPr>
      <w:proofErr w:type="spellStart"/>
      <w:r w:rsidRPr="001675E9">
        <w:rPr>
          <w:rFonts w:ascii="Arial" w:eastAsia="Arial" w:hAnsi="Arial" w:cs="Arial"/>
          <w:sz w:val="16"/>
          <w:szCs w:val="16"/>
          <w:lang w:val="en-US"/>
        </w:rPr>
        <w:t>Cálculos</w:t>
      </w:r>
      <w:proofErr w:type="spellEnd"/>
      <w:r w:rsidRPr="001675E9">
        <w:rPr>
          <w:rFonts w:ascii="Arial" w:eastAsia="Arial" w:hAnsi="Arial" w:cs="Arial"/>
          <w:sz w:val="16"/>
          <w:szCs w:val="16"/>
          <w:lang w:val="en-US"/>
        </w:rPr>
        <w:t xml:space="preserve"> UPME, Fuente: Argus Media, Baltic Exchange y U.S Bureau of Labor </w:t>
      </w:r>
      <w:proofErr w:type="spellStart"/>
      <w:r w:rsidRPr="001675E9">
        <w:rPr>
          <w:rFonts w:ascii="Arial" w:eastAsia="Arial" w:hAnsi="Arial" w:cs="Arial"/>
          <w:sz w:val="16"/>
          <w:szCs w:val="16"/>
          <w:lang w:val="en-US"/>
        </w:rPr>
        <w:t>Stadistics</w:t>
      </w:r>
      <w:proofErr w:type="spellEnd"/>
    </w:p>
    <w:p w14:paraId="6FC36EA7" w14:textId="77777777" w:rsidR="004B2136" w:rsidRPr="001675E9" w:rsidRDefault="004B2136">
      <w:pPr>
        <w:jc w:val="both"/>
        <w:rPr>
          <w:rFonts w:ascii="Arial" w:eastAsia="Arial" w:hAnsi="Arial" w:cs="Arial"/>
          <w:b/>
          <w:sz w:val="22"/>
          <w:szCs w:val="22"/>
          <w:lang w:val="en-US"/>
        </w:rPr>
      </w:pPr>
    </w:p>
    <w:p w14:paraId="3778F6E0" w14:textId="77777777" w:rsidR="004B2136" w:rsidRDefault="001675E9">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Cálculo. </w:t>
      </w:r>
    </w:p>
    <w:p w14:paraId="36A3D31B" w14:textId="77777777" w:rsidR="004B2136" w:rsidRDefault="004B2136">
      <w:pPr>
        <w:pBdr>
          <w:top w:val="nil"/>
          <w:left w:val="nil"/>
          <w:bottom w:val="nil"/>
          <w:right w:val="nil"/>
          <w:between w:val="nil"/>
        </w:pBdr>
        <w:ind w:left="720"/>
        <w:jc w:val="both"/>
        <w:rPr>
          <w:rFonts w:ascii="Arial" w:eastAsia="Arial" w:hAnsi="Arial" w:cs="Arial"/>
          <w:color w:val="000000"/>
          <w:sz w:val="22"/>
          <w:szCs w:val="22"/>
        </w:rPr>
      </w:pPr>
    </w:p>
    <w:p w14:paraId="45E68395" w14:textId="77777777" w:rsidR="004B2136" w:rsidRDefault="001675E9">
      <w:pPr>
        <w:numPr>
          <w:ilvl w:val="0"/>
          <w:numId w:val="5"/>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Los precios promedio mensuales FOB USD/T de referencia establecidos para el periodo 2014-2024 fueron obtenidos de la diferencia entre el precio de referencia internacional API2 y el flete BCI7.</w:t>
      </w:r>
    </w:p>
    <w:p w14:paraId="3752BDA0" w14:textId="77777777" w:rsidR="004B2136" w:rsidRDefault="001675E9">
      <w:pPr>
        <w:numPr>
          <w:ilvl w:val="0"/>
          <w:numId w:val="5"/>
        </w:numPr>
        <w:jc w:val="both"/>
        <w:rPr>
          <w:rFonts w:ascii="Arial" w:eastAsia="Arial" w:hAnsi="Arial" w:cs="Arial"/>
          <w:color w:val="000000"/>
          <w:sz w:val="22"/>
          <w:szCs w:val="22"/>
        </w:rPr>
      </w:pPr>
      <w:r>
        <w:rPr>
          <w:rFonts w:ascii="Arial" w:eastAsia="Arial" w:hAnsi="Arial" w:cs="Arial"/>
          <w:color w:val="000000"/>
          <w:sz w:val="22"/>
          <w:szCs w:val="22"/>
        </w:rPr>
        <w:t xml:space="preserve">Los precios promedio mensuales FOB USD/T de referencia para el periodo enero de 2014 a diciembre de 2023 fueron deflactados teniendo como base el </w:t>
      </w:r>
      <w:r>
        <w:rPr>
          <w:rFonts w:ascii="Arial" w:eastAsia="Arial" w:hAnsi="Arial" w:cs="Arial"/>
          <w:i/>
          <w:color w:val="333333"/>
          <w:sz w:val="22"/>
          <w:szCs w:val="22"/>
          <w:highlight w:val="white"/>
        </w:rPr>
        <w:t xml:space="preserve">Índice de Precios al Consumidor para todos los consumidores urbanos de los Estados Unidos de América </w:t>
      </w:r>
      <w:r>
        <w:rPr>
          <w:rFonts w:ascii="Arial" w:eastAsia="Arial" w:hAnsi="Arial" w:cs="Arial"/>
          <w:color w:val="000000"/>
          <w:sz w:val="22"/>
          <w:szCs w:val="22"/>
        </w:rPr>
        <w:t>CPI-U de diciembre de 2023 para posteriormente calcular los percentiles 65 y 75</w:t>
      </w:r>
    </w:p>
    <w:p w14:paraId="7C417C70" w14:textId="77777777" w:rsidR="004B2136" w:rsidRDefault="001675E9">
      <w:pPr>
        <w:numPr>
          <w:ilvl w:val="0"/>
          <w:numId w:val="5"/>
        </w:numPr>
        <w:jc w:val="both"/>
        <w:rPr>
          <w:rFonts w:ascii="Arial" w:eastAsia="Arial" w:hAnsi="Arial" w:cs="Arial"/>
          <w:color w:val="000000"/>
          <w:sz w:val="22"/>
          <w:szCs w:val="22"/>
        </w:rPr>
      </w:pPr>
      <w:r>
        <w:rPr>
          <w:rFonts w:ascii="Arial" w:eastAsia="Arial" w:hAnsi="Arial" w:cs="Arial"/>
          <w:color w:val="000000"/>
          <w:sz w:val="22"/>
          <w:szCs w:val="22"/>
        </w:rPr>
        <w:t xml:space="preserve">Los precios promedio mensuales FOB USD/T de referencia para el periodo enero a diciembre de 2024 fueron deflactados teniendo como base el </w:t>
      </w:r>
      <w:r>
        <w:rPr>
          <w:rFonts w:ascii="Arial" w:eastAsia="Arial" w:hAnsi="Arial" w:cs="Arial"/>
          <w:i/>
          <w:color w:val="333333"/>
          <w:sz w:val="22"/>
          <w:szCs w:val="22"/>
          <w:highlight w:val="white"/>
        </w:rPr>
        <w:t xml:space="preserve">Índice de Precios al Consumidor para todos los consumidores urbanos de los Estados Unidos de América </w:t>
      </w:r>
      <w:r>
        <w:rPr>
          <w:rFonts w:ascii="Arial" w:eastAsia="Arial" w:hAnsi="Arial" w:cs="Arial"/>
          <w:color w:val="000000"/>
          <w:sz w:val="22"/>
          <w:szCs w:val="22"/>
        </w:rPr>
        <w:t>CPI-U de diciembre de 2023 para posteriormente hallar el precio promedio del año gravable 2024.</w:t>
      </w:r>
    </w:p>
    <w:p w14:paraId="774FC24E" w14:textId="77777777" w:rsidR="004B2136" w:rsidRDefault="004B2136">
      <w:pPr>
        <w:rPr>
          <w:sz w:val="24"/>
          <w:szCs w:val="24"/>
        </w:rPr>
      </w:pPr>
    </w:p>
    <w:p w14:paraId="49DE20A6" w14:textId="77777777" w:rsidR="004B2136" w:rsidRDefault="001675E9">
      <w:pPr>
        <w:ind w:left="720"/>
        <w:jc w:val="both"/>
        <w:rPr>
          <w:sz w:val="24"/>
          <w:szCs w:val="24"/>
        </w:rPr>
      </w:pPr>
      <w:r>
        <w:rPr>
          <w:rFonts w:ascii="Arial" w:eastAsia="Arial" w:hAnsi="Arial" w:cs="Arial"/>
          <w:color w:val="000000"/>
          <w:sz w:val="22"/>
          <w:szCs w:val="22"/>
        </w:rPr>
        <w:t>Los resultados se pueden observar en la siguiente gráfica:</w:t>
      </w:r>
    </w:p>
    <w:p w14:paraId="699752F3" w14:textId="77777777" w:rsidR="004B2136" w:rsidRDefault="004B2136">
      <w:pPr>
        <w:jc w:val="both"/>
        <w:rPr>
          <w:rFonts w:ascii="Arial" w:eastAsia="Arial" w:hAnsi="Arial" w:cs="Arial"/>
          <w:b/>
          <w:sz w:val="22"/>
          <w:szCs w:val="22"/>
        </w:rPr>
      </w:pPr>
    </w:p>
    <w:p w14:paraId="6D561B87" w14:textId="77777777" w:rsidR="004B2136" w:rsidRDefault="004B2136">
      <w:pPr>
        <w:jc w:val="both"/>
        <w:rPr>
          <w:rFonts w:ascii="Arial" w:eastAsia="Arial" w:hAnsi="Arial" w:cs="Arial"/>
          <w:b/>
          <w:sz w:val="22"/>
          <w:szCs w:val="22"/>
        </w:rPr>
      </w:pPr>
    </w:p>
    <w:p w14:paraId="1B6AEF6C" w14:textId="77777777" w:rsidR="004B2136" w:rsidRDefault="001675E9">
      <w:pPr>
        <w:rPr>
          <w:rFonts w:ascii="Arial" w:eastAsia="Arial" w:hAnsi="Arial" w:cs="Arial"/>
          <w:sz w:val="22"/>
          <w:szCs w:val="22"/>
        </w:rPr>
      </w:pPr>
      <w:r>
        <w:rPr>
          <w:rFonts w:ascii="Arial" w:eastAsia="Arial" w:hAnsi="Arial" w:cs="Arial"/>
          <w:noProof/>
          <w:sz w:val="22"/>
          <w:szCs w:val="22"/>
        </w:rPr>
        <w:drawing>
          <wp:inline distT="114300" distB="114300" distL="114300" distR="114300" wp14:anchorId="26948440" wp14:editId="2AA25A3A">
            <wp:extent cx="5760720" cy="3009900"/>
            <wp:effectExtent l="0" t="0" r="0" b="0"/>
            <wp:docPr id="27" name="image2.png" descr="Gráfico">
              <a:extLst xmlns:a="http://schemas.openxmlformats.org/drawingml/2006/main">
                <a:ext uri="http://customooxmlschemas.google.com/">
                  <go:docsCustomData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go="http://customooxmlschemas.google.com/" roundtripId="41"/>
                </a:ext>
              </a:extLst>
            </wp:docPr>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5"/>
                    <a:srcRect/>
                    <a:stretch>
                      <a:fillRect/>
                    </a:stretch>
                  </pic:blipFill>
                  <pic:spPr>
                    <a:xfrm>
                      <a:off x="0" y="0"/>
                      <a:ext cx="5760720" cy="3009900"/>
                    </a:xfrm>
                    <a:prstGeom prst="rect">
                      <a:avLst/>
                    </a:prstGeom>
                    <a:ln/>
                  </pic:spPr>
                </pic:pic>
              </a:graphicData>
            </a:graphic>
          </wp:inline>
        </w:drawing>
      </w:r>
    </w:p>
    <w:p w14:paraId="706FD2EE" w14:textId="77777777" w:rsidR="0075627D" w:rsidRDefault="0075627D">
      <w:pPr>
        <w:rPr>
          <w:rFonts w:ascii="Arial" w:eastAsia="Arial" w:hAnsi="Arial" w:cs="Arial"/>
          <w:sz w:val="22"/>
          <w:szCs w:val="22"/>
        </w:rPr>
      </w:pPr>
    </w:p>
    <w:p w14:paraId="0CFBE65B" w14:textId="77777777" w:rsidR="0075627D" w:rsidRDefault="0075627D">
      <w:pPr>
        <w:rPr>
          <w:rFonts w:ascii="Arial" w:eastAsia="Arial" w:hAnsi="Arial" w:cs="Arial"/>
          <w:sz w:val="22"/>
          <w:szCs w:val="22"/>
        </w:rPr>
      </w:pPr>
    </w:p>
    <w:p w14:paraId="36C0E822" w14:textId="77777777" w:rsidR="004B2136" w:rsidRDefault="001675E9">
      <w:pPr>
        <w:jc w:val="both"/>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b/>
          <w:sz w:val="22"/>
          <w:szCs w:val="22"/>
        </w:rPr>
        <w:tab/>
      </w:r>
    </w:p>
    <w:p w14:paraId="2196273C" w14:textId="77777777" w:rsidR="004B2136" w:rsidRDefault="001675E9">
      <w:pPr>
        <w:jc w:val="both"/>
        <w:rPr>
          <w:rFonts w:ascii="Arial" w:eastAsia="Arial" w:hAnsi="Arial" w:cs="Arial"/>
          <w:b/>
          <w:sz w:val="22"/>
          <w:szCs w:val="22"/>
        </w:rPr>
      </w:pPr>
      <w:r>
        <w:rPr>
          <w:rFonts w:ascii="Arial" w:eastAsia="Arial" w:hAnsi="Arial" w:cs="Arial"/>
          <w:b/>
          <w:sz w:val="22"/>
          <w:szCs w:val="22"/>
        </w:rPr>
        <w:t>3.</w:t>
      </w:r>
      <w:r>
        <w:rPr>
          <w:rFonts w:ascii="Arial" w:eastAsia="Arial" w:hAnsi="Arial" w:cs="Arial"/>
          <w:b/>
          <w:sz w:val="22"/>
          <w:szCs w:val="22"/>
        </w:rPr>
        <w:tab/>
        <w:t xml:space="preserve">Fuentes. </w:t>
      </w:r>
    </w:p>
    <w:p w14:paraId="186BFC32" w14:textId="77777777" w:rsidR="004B2136" w:rsidRDefault="004B2136">
      <w:pPr>
        <w:jc w:val="both"/>
        <w:rPr>
          <w:rFonts w:ascii="Arial" w:eastAsia="Arial" w:hAnsi="Arial" w:cs="Arial"/>
          <w:b/>
          <w:sz w:val="22"/>
          <w:szCs w:val="22"/>
        </w:rPr>
      </w:pPr>
    </w:p>
    <w:p w14:paraId="01B6C403" w14:textId="77777777" w:rsidR="004B2136" w:rsidRDefault="001675E9">
      <w:pPr>
        <w:numPr>
          <w:ilvl w:val="0"/>
          <w:numId w:val="1"/>
        </w:numPr>
        <w:jc w:val="both"/>
        <w:rPr>
          <w:rFonts w:ascii="Arial" w:eastAsia="Arial" w:hAnsi="Arial" w:cs="Arial"/>
          <w:sz w:val="22"/>
          <w:szCs w:val="22"/>
        </w:rPr>
      </w:pPr>
      <w:r>
        <w:rPr>
          <w:rFonts w:ascii="Arial" w:eastAsia="Arial" w:hAnsi="Arial" w:cs="Arial"/>
          <w:sz w:val="22"/>
          <w:szCs w:val="22"/>
        </w:rPr>
        <w:t>El precio internacional de referencia del carbón API2 se obtiene de la publicación que realiza ARGUS MEDIA, suscripción adquirida por la UPME.</w:t>
      </w:r>
    </w:p>
    <w:p w14:paraId="5B8A6342" w14:textId="77777777" w:rsidR="004B2136" w:rsidRDefault="001675E9">
      <w:pPr>
        <w:numPr>
          <w:ilvl w:val="0"/>
          <w:numId w:val="1"/>
        </w:numPr>
        <w:jc w:val="both"/>
        <w:rPr>
          <w:rFonts w:ascii="Arial" w:eastAsia="Arial" w:hAnsi="Arial" w:cs="Arial"/>
          <w:sz w:val="22"/>
          <w:szCs w:val="22"/>
        </w:rPr>
      </w:pPr>
      <w:r>
        <w:rPr>
          <w:rFonts w:ascii="Arial" w:eastAsia="Arial" w:hAnsi="Arial" w:cs="Arial"/>
          <w:sz w:val="22"/>
          <w:szCs w:val="22"/>
        </w:rPr>
        <w:t xml:space="preserve">El valor del flete BCI7 se obtiene de la publicación que realiza </w:t>
      </w:r>
      <w:proofErr w:type="spellStart"/>
      <w:r>
        <w:rPr>
          <w:rFonts w:ascii="Arial" w:eastAsia="Arial" w:hAnsi="Arial" w:cs="Arial"/>
          <w:sz w:val="22"/>
          <w:szCs w:val="22"/>
        </w:rPr>
        <w:t>Baltic</w:t>
      </w:r>
      <w:proofErr w:type="spellEnd"/>
      <w:r>
        <w:rPr>
          <w:rFonts w:ascii="Arial" w:eastAsia="Arial" w:hAnsi="Arial" w:cs="Arial"/>
          <w:sz w:val="22"/>
          <w:szCs w:val="22"/>
        </w:rPr>
        <w:t xml:space="preserve"> Exchange, suscripción adquirida por la UPME.</w:t>
      </w:r>
    </w:p>
    <w:p w14:paraId="670EAF59" w14:textId="77777777" w:rsidR="004B2136" w:rsidRDefault="001675E9">
      <w:pPr>
        <w:numPr>
          <w:ilvl w:val="0"/>
          <w:numId w:val="1"/>
        </w:numPr>
        <w:jc w:val="both"/>
        <w:rPr>
          <w:rFonts w:ascii="Arial" w:eastAsia="Arial" w:hAnsi="Arial" w:cs="Arial"/>
          <w:sz w:val="22"/>
          <w:szCs w:val="22"/>
        </w:rPr>
      </w:pPr>
      <w:r>
        <w:rPr>
          <w:rFonts w:ascii="Arial" w:eastAsia="Arial" w:hAnsi="Arial" w:cs="Arial"/>
          <w:sz w:val="22"/>
          <w:szCs w:val="22"/>
        </w:rPr>
        <w:t xml:space="preserve">Los </w:t>
      </w:r>
      <w:r>
        <w:rPr>
          <w:rFonts w:ascii="Arial" w:eastAsia="Arial" w:hAnsi="Arial" w:cs="Arial"/>
          <w:i/>
          <w:color w:val="333333"/>
          <w:sz w:val="22"/>
          <w:szCs w:val="22"/>
          <w:highlight w:val="white"/>
        </w:rPr>
        <w:t>Índice de Precios al Consumidor para todos los consumidores urbanos de los Estados Unidos de América (</w:t>
      </w:r>
      <w:r>
        <w:rPr>
          <w:rFonts w:ascii="Arial" w:eastAsia="Arial" w:hAnsi="Arial" w:cs="Arial"/>
          <w:sz w:val="22"/>
          <w:szCs w:val="22"/>
        </w:rPr>
        <w:t xml:space="preserve">CPI-U) fue consultado en la página de la </w:t>
      </w:r>
      <w:r>
        <w:rPr>
          <w:rFonts w:ascii="Arial" w:eastAsia="Arial" w:hAnsi="Arial" w:cs="Arial"/>
          <w:i/>
          <w:color w:val="333333"/>
          <w:sz w:val="22"/>
          <w:szCs w:val="22"/>
          <w:highlight w:val="white"/>
        </w:rPr>
        <w:t>Oficina de Estadísticas Laborales de Estados Unidos (</w:t>
      </w:r>
      <w:hyperlink r:id="rId16">
        <w:r>
          <w:rPr>
            <w:rFonts w:ascii="Arial" w:eastAsia="Arial" w:hAnsi="Arial" w:cs="Arial"/>
            <w:color w:val="1155CC"/>
            <w:sz w:val="22"/>
            <w:szCs w:val="22"/>
            <w:u w:val="single"/>
          </w:rPr>
          <w:t>https://data.bls.gov/dataViewer/view/timeseries/CUUR0000SA0</w:t>
        </w:r>
      </w:hyperlink>
      <w:r>
        <w:rPr>
          <w:rFonts w:ascii="Arial" w:eastAsia="Arial" w:hAnsi="Arial" w:cs="Arial"/>
          <w:i/>
          <w:color w:val="333333"/>
          <w:sz w:val="22"/>
          <w:szCs w:val="22"/>
          <w:highlight w:val="white"/>
        </w:rPr>
        <w:t>)</w:t>
      </w:r>
    </w:p>
    <w:p w14:paraId="3969C80B" w14:textId="77777777" w:rsidR="004B2136" w:rsidRDefault="004B2136">
      <w:pPr>
        <w:ind w:left="720"/>
        <w:jc w:val="both"/>
        <w:rPr>
          <w:rFonts w:ascii="Arial" w:eastAsia="Arial" w:hAnsi="Arial" w:cs="Arial"/>
          <w:i/>
          <w:color w:val="333333"/>
          <w:sz w:val="22"/>
          <w:szCs w:val="22"/>
          <w:highlight w:val="white"/>
        </w:rPr>
      </w:pPr>
    </w:p>
    <w:p w14:paraId="2A2C1840" w14:textId="77777777" w:rsidR="004B2136" w:rsidRDefault="004B2136">
      <w:pPr>
        <w:pBdr>
          <w:top w:val="nil"/>
          <w:left w:val="nil"/>
          <w:bottom w:val="nil"/>
          <w:right w:val="nil"/>
          <w:between w:val="nil"/>
        </w:pBdr>
        <w:jc w:val="center"/>
        <w:rPr>
          <w:rFonts w:ascii="Arial" w:eastAsia="Arial" w:hAnsi="Arial" w:cs="Arial"/>
          <w:sz w:val="22"/>
          <w:szCs w:val="22"/>
        </w:rPr>
      </w:pPr>
    </w:p>
    <w:p w14:paraId="78AB2950" w14:textId="77777777" w:rsidR="004B2136" w:rsidRDefault="004B2136">
      <w:pPr>
        <w:pBdr>
          <w:top w:val="nil"/>
          <w:left w:val="nil"/>
          <w:bottom w:val="nil"/>
          <w:right w:val="nil"/>
          <w:between w:val="nil"/>
        </w:pBdr>
        <w:shd w:val="clear" w:color="auto" w:fill="FFFFFF"/>
        <w:jc w:val="center"/>
        <w:rPr>
          <w:rFonts w:ascii="Arial" w:eastAsia="Arial" w:hAnsi="Arial" w:cs="Arial"/>
          <w:sz w:val="22"/>
          <w:szCs w:val="22"/>
        </w:rPr>
      </w:pPr>
    </w:p>
    <w:sectPr w:rsidR="004B2136">
      <w:headerReference w:type="even" r:id="rId17"/>
      <w:headerReference w:type="default" r:id="rId18"/>
      <w:footerReference w:type="default" r:id="rId19"/>
      <w:headerReference w:type="first" r:id="rId20"/>
      <w:footerReference w:type="first" r:id="rId21"/>
      <w:pgSz w:w="12094" w:h="18705"/>
      <w:pgMar w:top="1701" w:right="1321" w:bottom="1701" w:left="1701"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F87A" w14:textId="77777777" w:rsidR="00441B60" w:rsidRDefault="00441B60">
      <w:r>
        <w:separator/>
      </w:r>
    </w:p>
  </w:endnote>
  <w:endnote w:type="continuationSeparator" w:id="0">
    <w:p w14:paraId="06E9BBE5" w14:textId="77777777" w:rsidR="00441B60" w:rsidRDefault="0044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Scalabl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de3of9">
    <w:altName w:val="Calibr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ree 3 of 9">
    <w:panose1 w:val="00000009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2245" w14:textId="77777777" w:rsidR="004B2136" w:rsidRDefault="001675E9">
    <w:pPr>
      <w:pBdr>
        <w:top w:val="nil"/>
        <w:left w:val="nil"/>
        <w:bottom w:val="nil"/>
        <w:right w:val="nil"/>
        <w:between w:val="nil"/>
      </w:pBdr>
      <w:tabs>
        <w:tab w:val="center" w:pos="4252"/>
        <w:tab w:val="right" w:pos="8504"/>
      </w:tabs>
      <w:rPr>
        <w:color w:val="000000"/>
      </w:rPr>
    </w:pP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AEAAAA"/>
        <w:sz w:val="18"/>
        <w:szCs w:val="18"/>
      </w:rPr>
      <w:t>F-DI-06-V2</w:t>
    </w:r>
    <w:r>
      <w:rPr>
        <w:rFonts w:ascii="Arial" w:eastAsia="Arial" w:hAnsi="Arial" w:cs="Arial"/>
        <w:b/>
        <w:color w:val="000000"/>
      </w:rPr>
      <w:tab/>
    </w:r>
    <w:r>
      <w:rPr>
        <w:rFonts w:ascii="Arial" w:eastAsia="Arial" w:hAnsi="Arial" w:cs="Arial"/>
        <w:b/>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AF33" w14:textId="77777777" w:rsidR="004B2136" w:rsidRDefault="004B2136">
    <w:pPr>
      <w:pBdr>
        <w:top w:val="nil"/>
        <w:left w:val="nil"/>
        <w:bottom w:val="nil"/>
        <w:right w:val="nil"/>
        <w:between w:val="nil"/>
      </w:pBdr>
      <w:tabs>
        <w:tab w:val="center" w:pos="4252"/>
        <w:tab w:val="right" w:pos="8504"/>
      </w:tabs>
      <w:rPr>
        <w:color w:val="000000"/>
      </w:rPr>
    </w:pPr>
  </w:p>
  <w:p w14:paraId="7F2518EE" w14:textId="77777777" w:rsidR="004B2136" w:rsidRDefault="001675E9">
    <w:pPr>
      <w:pBdr>
        <w:top w:val="nil"/>
        <w:left w:val="nil"/>
        <w:bottom w:val="nil"/>
        <w:right w:val="nil"/>
        <w:between w:val="nil"/>
      </w:pBdr>
      <w:tabs>
        <w:tab w:val="center" w:pos="4252"/>
        <w:tab w:val="right" w:pos="8504"/>
      </w:tabs>
      <w:rPr>
        <w:color w:val="000000"/>
      </w:rPr>
    </w:pP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AEAAAA"/>
        <w:sz w:val="18"/>
        <w:szCs w:val="18"/>
      </w:rPr>
      <w:t>F-DI-06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5157" w14:textId="77777777" w:rsidR="00441B60" w:rsidRDefault="00441B60">
      <w:r>
        <w:separator/>
      </w:r>
    </w:p>
  </w:footnote>
  <w:footnote w:type="continuationSeparator" w:id="0">
    <w:p w14:paraId="39AB142E" w14:textId="77777777" w:rsidR="00441B60" w:rsidRDefault="0044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87F8" w14:textId="77777777" w:rsidR="004B2136" w:rsidRDefault="00441B60">
    <w:pPr>
      <w:pBdr>
        <w:top w:val="nil"/>
        <w:left w:val="nil"/>
        <w:bottom w:val="nil"/>
        <w:right w:val="nil"/>
        <w:between w:val="nil"/>
      </w:pBdr>
      <w:tabs>
        <w:tab w:val="center" w:pos="4252"/>
        <w:tab w:val="right" w:pos="8504"/>
      </w:tabs>
      <w:rPr>
        <w:color w:val="000000"/>
      </w:rPr>
    </w:pPr>
    <w:r>
      <w:rPr>
        <w:color w:val="000000"/>
      </w:rPr>
      <w:pict w14:anchorId="4D1086C9">
        <v:shapetype id="_x0000_m205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0E0FB09A">
        <v:shape id="PowerPlusWaterMarkObject3" o:spid="_x0000_s2049" type="#_x0000_m2054" style="position:absolute;margin-left:0;margin-top:0;width:578.55pt;height:60.9pt;rotation:315;z-index:-251654656;mso-position-horizontal:center;mso-position-horizontal-relative:margin;mso-position-vertical:center;mso-position-vertical-relative:margin" o:spt="136" adj="10800" path="m@7,l@8,m@5,21600l@6,21600e" fillcolor="silver"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PROYECTO NORMATIVO"/>
          <o:lock v:ext="edit" text="t" shapetype="t"/>
          <w10:wrap anchorx="margin" anchory="margin"/>
        </v:shape>
      </w:pict>
    </w:r>
    <w:r w:rsidR="001675E9">
      <w:rPr>
        <w:noProof/>
        <w:color w:val="000000"/>
      </w:rPr>
      <mc:AlternateContent>
        <mc:Choice Requires="wps">
          <w:drawing>
            <wp:anchor distT="0" distB="0" distL="0" distR="0" simplePos="0" relativeHeight="251655680" behindDoc="1" locked="0" layoutInCell="1" hidden="0" allowOverlap="1" wp14:anchorId="0AF6C6C9" wp14:editId="3834C165">
              <wp:simplePos x="0" y="0"/>
              <wp:positionH relativeFrom="margin">
                <wp:align>center</wp:align>
              </wp:positionH>
              <wp:positionV relativeFrom="margin">
                <wp:align>center</wp:align>
              </wp:positionV>
              <wp:extent cx="8153534" cy="8153534"/>
              <wp:effectExtent l="0" t="0" r="0" b="0"/>
              <wp:wrapNone/>
              <wp:docPr id="19" name="Rectángulo 19"/>
              <wp:cNvGraphicFramePr/>
              <a:graphic xmlns:a="http://schemas.openxmlformats.org/drawingml/2006/main">
                <a:graphicData uri="http://schemas.microsoft.com/office/word/2010/wordprocessingShape">
                  <wps:wsp>
                    <wps:cNvSpPr/>
                    <wps:spPr>
                      <a:xfrm rot="-2700000">
                        <a:off x="1672208" y="3393285"/>
                        <a:ext cx="7347584" cy="773430"/>
                      </a:xfrm>
                      <a:prstGeom prst="rect">
                        <a:avLst/>
                      </a:prstGeom>
                      <a:noFill/>
                      <a:ln>
                        <a:noFill/>
                      </a:ln>
                    </wps:spPr>
                    <wps:txbx>
                      <w:txbxContent>
                        <w:p w14:paraId="3EDC5D85" w14:textId="77777777" w:rsidR="004B2136" w:rsidRDefault="001675E9">
                          <w:pPr>
                            <w:jc w:val="center"/>
                            <w:textDirection w:val="btLr"/>
                          </w:pPr>
                          <w:r>
                            <w:rPr>
                              <w:color w:val="A5A5A5"/>
                              <w:sz w:val="144"/>
                            </w:rPr>
                            <w:t>PROYECTO NORMATIVO</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642pt;height:642pt;rotation:-45;z-index:-25166080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" filled="f" stroked="f">
              <v:textbox inset="2.53958mm,2.53958mm,2.53958mm,2.53958mm">
                <w:txbxContent>
                  <w:p w:rsidR="004B2136" w:rsidRDefault="001675E9">
                    <w:pPr>
                      <w:jc w:val="center"/>
                      <w:textDirection w:val="btLr"/>
                    </w:pPr>
                    <w:r>
                      <w:rPr>
                        <w:color w:val="A5A5A5"/>
                        <w:sz w:val="144"/>
                      </w:rPr>
                      <w:t>PROYECTO NORMATIVO</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65AB" w14:textId="77777777" w:rsidR="004B2136" w:rsidRDefault="004B2136">
    <w:pPr>
      <w:widowControl w:val="0"/>
      <w:pBdr>
        <w:top w:val="nil"/>
        <w:left w:val="nil"/>
        <w:bottom w:val="nil"/>
        <w:right w:val="nil"/>
        <w:between w:val="nil"/>
      </w:pBdr>
      <w:spacing w:line="276" w:lineRule="auto"/>
      <w:rPr>
        <w:color w:val="000000"/>
      </w:rPr>
    </w:pPr>
  </w:p>
  <w:tbl>
    <w:tblPr>
      <w:tblStyle w:val="a8"/>
      <w:tblW w:w="9072" w:type="dxa"/>
      <w:jc w:val="center"/>
      <w:tblInd w:w="0" w:type="dxa"/>
      <w:tblLayout w:type="fixed"/>
      <w:tblLook w:val="0400" w:firstRow="0" w:lastRow="0" w:firstColumn="0" w:lastColumn="0" w:noHBand="0" w:noVBand="1"/>
    </w:tblPr>
    <w:tblGrid>
      <w:gridCol w:w="6953"/>
      <w:gridCol w:w="2119"/>
    </w:tblGrid>
    <w:tr w:rsidR="004B2136" w14:paraId="6D5348D5" w14:textId="77777777">
      <w:trPr>
        <w:jc w:val="center"/>
      </w:trPr>
      <w:tc>
        <w:tcPr>
          <w:tcW w:w="6953" w:type="dxa"/>
          <w:shd w:val="clear" w:color="auto" w:fill="auto"/>
        </w:tcPr>
        <w:p w14:paraId="4CC6488E" w14:textId="77777777" w:rsidR="004B2136" w:rsidRDefault="001675E9">
          <w:pPr>
            <w:pBdr>
              <w:top w:val="nil"/>
              <w:left w:val="nil"/>
              <w:bottom w:val="nil"/>
              <w:right w:val="nil"/>
              <w:between w:val="nil"/>
            </w:pBdr>
            <w:tabs>
              <w:tab w:val="center" w:pos="4252"/>
              <w:tab w:val="right" w:pos="8504"/>
            </w:tabs>
            <w:jc w:val="both"/>
            <w:rPr>
              <w:rFonts w:ascii="Arial" w:eastAsia="Arial" w:hAnsi="Arial" w:cs="Arial"/>
              <w:color w:val="000000"/>
            </w:rPr>
          </w:pPr>
          <w:r>
            <w:rPr>
              <w:rFonts w:ascii="Arial" w:eastAsia="Arial" w:hAnsi="Arial" w:cs="Arial"/>
              <w:b/>
              <w:color w:val="000000"/>
            </w:rPr>
            <w:t>RESOLUCIÓN No. SECUENCIA_RADICADO de F_RAD_S</w:t>
          </w:r>
        </w:p>
      </w:tc>
      <w:tc>
        <w:tcPr>
          <w:tcW w:w="2119" w:type="dxa"/>
          <w:shd w:val="clear" w:color="auto" w:fill="auto"/>
        </w:tcPr>
        <w:p w14:paraId="6DDA5DF4" w14:textId="77777777" w:rsidR="004B2136" w:rsidRDefault="001675E9">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t xml:space="preserve">Página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de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w:t>
          </w:r>
        </w:p>
      </w:tc>
    </w:tr>
    <w:tr w:rsidR="004B2136" w14:paraId="2D52AA5D" w14:textId="77777777">
      <w:trPr>
        <w:jc w:val="center"/>
      </w:trPr>
      <w:tc>
        <w:tcPr>
          <w:tcW w:w="9072" w:type="dxa"/>
          <w:gridSpan w:val="2"/>
          <w:shd w:val="clear" w:color="auto" w:fill="auto"/>
        </w:tcPr>
        <w:p w14:paraId="2F1E0280" w14:textId="77777777" w:rsidR="004B2136" w:rsidRDefault="004B2136">
          <w:pPr>
            <w:pBdr>
              <w:top w:val="nil"/>
              <w:left w:val="nil"/>
              <w:bottom w:val="nil"/>
              <w:right w:val="nil"/>
              <w:between w:val="nil"/>
            </w:pBdr>
            <w:tabs>
              <w:tab w:val="center" w:pos="4252"/>
              <w:tab w:val="right" w:pos="8504"/>
            </w:tabs>
            <w:jc w:val="right"/>
            <w:rPr>
              <w:rFonts w:ascii="Arial" w:eastAsia="Arial" w:hAnsi="Arial" w:cs="Arial"/>
              <w:color w:val="000000"/>
            </w:rPr>
          </w:pPr>
        </w:p>
      </w:tc>
    </w:tr>
    <w:tr w:rsidR="004B2136" w14:paraId="4800217D" w14:textId="77777777">
      <w:trPr>
        <w:jc w:val="center"/>
      </w:trPr>
      <w:tc>
        <w:tcPr>
          <w:tcW w:w="9072" w:type="dxa"/>
          <w:gridSpan w:val="2"/>
          <w:shd w:val="clear" w:color="auto" w:fill="auto"/>
        </w:tcPr>
        <w:p w14:paraId="575E7EA9" w14:textId="77777777" w:rsidR="004B2136" w:rsidRDefault="004B2136">
          <w:pPr>
            <w:widowControl w:val="0"/>
            <w:pBdr>
              <w:top w:val="nil"/>
              <w:left w:val="nil"/>
              <w:bottom w:val="nil"/>
              <w:right w:val="nil"/>
              <w:between w:val="nil"/>
            </w:pBdr>
            <w:spacing w:line="276" w:lineRule="auto"/>
            <w:rPr>
              <w:rFonts w:ascii="Arial" w:eastAsia="Arial" w:hAnsi="Arial" w:cs="Arial"/>
              <w:color w:val="000000"/>
            </w:rPr>
          </w:pPr>
        </w:p>
        <w:tbl>
          <w:tblPr>
            <w:tblStyle w:val="a9"/>
            <w:tblW w:w="884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8846"/>
          </w:tblGrid>
          <w:tr w:rsidR="004B2136" w14:paraId="02EFBE6B" w14:textId="77777777">
            <w:tc>
              <w:tcPr>
                <w:tcW w:w="8846" w:type="dxa"/>
                <w:tcBorders>
                  <w:top w:val="nil"/>
                  <w:left w:val="nil"/>
                  <w:bottom w:val="single" w:sz="4" w:space="0" w:color="000000"/>
                  <w:right w:val="nil"/>
                </w:tcBorders>
              </w:tcPr>
              <w:p w14:paraId="5F2E012B" w14:textId="77777777" w:rsidR="004B2136" w:rsidRDefault="001675E9">
                <w:pPr>
                  <w:pBdr>
                    <w:top w:val="nil"/>
                    <w:left w:val="nil"/>
                    <w:bottom w:val="nil"/>
                    <w:right w:val="nil"/>
                    <w:between w:val="nil"/>
                  </w:pBdr>
                  <w:tabs>
                    <w:tab w:val="center" w:pos="4252"/>
                    <w:tab w:val="right" w:pos="8504"/>
                  </w:tabs>
                  <w:ind w:left="-68"/>
                  <w:jc w:val="both"/>
                  <w:rPr>
                    <w:rFonts w:ascii="Arial" w:eastAsia="Arial" w:hAnsi="Arial" w:cs="Arial"/>
                    <w:b/>
                    <w:i/>
                    <w:color w:val="000000"/>
                  </w:rPr>
                </w:pPr>
                <w:r>
                  <w:rPr>
                    <w:rFonts w:ascii="Arial" w:eastAsia="Arial" w:hAnsi="Arial" w:cs="Arial"/>
                    <w:b/>
                    <w:color w:val="000000"/>
                  </w:rPr>
                  <w:t>Continuación de la Resolución</w:t>
                </w:r>
                <w:r>
                  <w:rPr>
                    <w:rFonts w:ascii="Arial" w:eastAsia="Arial" w:hAnsi="Arial" w:cs="Arial"/>
                    <w:b/>
                    <w:i/>
                    <w:color w:val="000000"/>
                  </w:rPr>
                  <w:t xml:space="preserve">: </w:t>
                </w:r>
                <w:bookmarkStart w:id="2" w:name="bookmark=id.3znysh7" w:colFirst="0" w:colLast="0"/>
                <w:bookmarkEnd w:id="2"/>
                <w:r>
                  <w:rPr>
                    <w:rFonts w:ascii="Arial" w:eastAsia="Arial" w:hAnsi="Arial" w:cs="Arial"/>
                    <w:b/>
                    <w:i/>
                    <w:color w:val="000000"/>
                  </w:rPr>
                  <w:t>Por la cual se establece el precio promedio internacional del carbón de referencia y los percentiles de precios promedio mensuales para efectos de determinar los puntos adicionales a la tarifa general del impuesto sobre la renta para el año gravable 2024.</w:t>
                </w:r>
              </w:p>
            </w:tc>
          </w:tr>
        </w:tbl>
        <w:p w14:paraId="4268C2A6" w14:textId="77777777" w:rsidR="004B2136" w:rsidRDefault="004B2136">
          <w:pPr>
            <w:pBdr>
              <w:top w:val="nil"/>
              <w:left w:val="nil"/>
              <w:bottom w:val="nil"/>
              <w:right w:val="nil"/>
              <w:between w:val="nil"/>
            </w:pBdr>
            <w:tabs>
              <w:tab w:val="center" w:pos="4252"/>
              <w:tab w:val="right" w:pos="8504"/>
            </w:tabs>
            <w:jc w:val="center"/>
            <w:rPr>
              <w:rFonts w:ascii="Arial" w:eastAsia="Arial" w:hAnsi="Arial" w:cs="Arial"/>
              <w:b/>
              <w:color w:val="000000"/>
            </w:rPr>
          </w:pPr>
        </w:p>
      </w:tc>
    </w:tr>
  </w:tbl>
  <w:p w14:paraId="48119851" w14:textId="77777777" w:rsidR="004B2136" w:rsidRDefault="00441B60">
    <w:pPr>
      <w:pBdr>
        <w:top w:val="nil"/>
        <w:left w:val="nil"/>
        <w:bottom w:val="nil"/>
        <w:right w:val="nil"/>
        <w:between w:val="nil"/>
      </w:pBdr>
      <w:tabs>
        <w:tab w:val="center" w:pos="4252"/>
        <w:tab w:val="right" w:pos="8504"/>
      </w:tabs>
      <w:rPr>
        <w:color w:val="000000"/>
      </w:rPr>
    </w:pPr>
    <w:r>
      <w:rPr>
        <w:color w:val="000000"/>
      </w:rPr>
      <w:pict w14:anchorId="5AEC1841">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2E6B6A47">
        <v:shape id="PowerPlusWaterMarkObject1" o:spid="_x0000_s2051" type="#_x0000_m2053" style="position:absolute;margin-left:0;margin-top:0;width:578.55pt;height:60.9pt;rotation:315;z-index:-251656704;mso-position-horizontal:center;mso-position-horizontal-relative:margin;mso-position-vertical:center;mso-position-vertical-relative:margin" o:spt="136" adj="10800" path="m@7,l@8,m@5,21600l@6,21600e" fillcolor="silver"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PROYECTO NORMATIVO"/>
          <o:lock v:ext="edit" text="t" shapetype="t"/>
          <w10:wrap anchorx="margin" anchory="margin"/>
        </v:shape>
      </w:pict>
    </w:r>
    <w:r w:rsidR="001675E9">
      <w:rPr>
        <w:rFonts w:ascii="Arial" w:eastAsia="Arial" w:hAnsi="Arial" w:cs="Arial"/>
        <w:b/>
        <w:noProof/>
        <w:color w:val="000000"/>
        <w:sz w:val="22"/>
        <w:szCs w:val="22"/>
      </w:rPr>
      <mc:AlternateContent>
        <mc:Choice Requires="wps">
          <w:drawing>
            <wp:anchor distT="0" distB="0" distL="114300" distR="114300" simplePos="0" relativeHeight="251653632" behindDoc="0" locked="0" layoutInCell="1" hidden="0" allowOverlap="1" wp14:anchorId="69D8F883" wp14:editId="43C2A7CF">
              <wp:simplePos x="0" y="0"/>
              <wp:positionH relativeFrom="page">
                <wp:posOffset>807720</wp:posOffset>
              </wp:positionH>
              <wp:positionV relativeFrom="margin">
                <wp:align>bottom</wp:align>
              </wp:positionV>
              <wp:extent cx="6221730" cy="10415270"/>
              <wp:effectExtent l="0" t="0" r="0" b="0"/>
              <wp:wrapNone/>
              <wp:docPr id="21" name="Rectángulo 21"/>
              <wp:cNvGraphicFramePr/>
              <a:graphic xmlns:a="http://schemas.openxmlformats.org/drawingml/2006/main">
                <a:graphicData uri="http://schemas.microsoft.com/office/word/2010/wordprocessingShape">
                  <wps:wsp>
                    <wps:cNvSpPr/>
                    <wps:spPr>
                      <a:xfrm>
                        <a:off x="2263710" y="0"/>
                        <a:ext cx="6164580" cy="7560000"/>
                      </a:xfrm>
                      <a:prstGeom prst="rect">
                        <a:avLst/>
                      </a:prstGeom>
                      <a:noFill/>
                      <a:ln w="28575" cap="flat" cmpd="sng">
                        <a:solidFill>
                          <a:srgbClr val="000000"/>
                        </a:solidFill>
                        <a:prstDash val="solid"/>
                        <a:miter lim="800000"/>
                        <a:headEnd type="none" w="sm" len="sm"/>
                        <a:tailEnd type="none" w="sm" len="sm"/>
                      </a:ln>
                    </wps:spPr>
                    <wps:txbx>
                      <w:txbxContent>
                        <w:p w14:paraId="440E698C" w14:textId="77777777" w:rsidR="004B2136" w:rsidRDefault="004B2136">
                          <w:pPr>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63.6pt;margin-top:0;width:489.9pt;height:820.1pt;z-index:251653632;visibility:visible;mso-wrap-style:square;mso-wrap-distance-left:9pt;mso-wrap-distance-top:0;mso-wrap-distance-right:9pt;mso-wrap-distance-bottom:0;mso-position-horizontal:absolut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" filled="f" strokeweight="2.25pt">
              <v:stroke startarrowwidth="narrow" startarrowlength="short" endarrowwidth="narrow" endarrowlength="short"/>
              <v:textbox inset="2.53958mm,2.53958mm,2.53958mm,2.53958mm">
                <w:txbxContent>
                  <w:p w:rsidR="004B2136" w:rsidRDefault="004B2136">
                    <w:pPr>
                      <w:textDirection w:val="btLr"/>
                    </w:pPr>
                  </w:p>
                </w:txbxContent>
              </v:textbox>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99D7" w14:textId="77777777" w:rsidR="004B2136" w:rsidRDefault="004B2136">
    <w:pPr>
      <w:widowControl w:val="0"/>
      <w:pBdr>
        <w:top w:val="nil"/>
        <w:left w:val="nil"/>
        <w:bottom w:val="nil"/>
        <w:right w:val="nil"/>
        <w:between w:val="nil"/>
      </w:pBdr>
      <w:spacing w:line="276" w:lineRule="auto"/>
      <w:rPr>
        <w:color w:val="000000"/>
      </w:rPr>
    </w:pPr>
  </w:p>
  <w:tbl>
    <w:tblPr>
      <w:tblStyle w:val="aa"/>
      <w:tblW w:w="8505" w:type="dxa"/>
      <w:jc w:val="center"/>
      <w:tblInd w:w="0" w:type="dxa"/>
      <w:tblLayout w:type="fixed"/>
      <w:tblLook w:val="0400" w:firstRow="0" w:lastRow="0" w:firstColumn="0" w:lastColumn="0" w:noHBand="0" w:noVBand="1"/>
    </w:tblPr>
    <w:tblGrid>
      <w:gridCol w:w="8505"/>
    </w:tblGrid>
    <w:tr w:rsidR="004B2136" w14:paraId="692F1D01" w14:textId="77777777">
      <w:trPr>
        <w:trHeight w:val="127"/>
        <w:jc w:val="center"/>
      </w:trPr>
      <w:tc>
        <w:tcPr>
          <w:tcW w:w="8505" w:type="dxa"/>
          <w:shd w:val="clear" w:color="auto" w:fill="auto"/>
        </w:tcPr>
        <w:p w14:paraId="0CE285AE" w14:textId="77777777" w:rsidR="004B2136" w:rsidRDefault="001675E9">
          <w:pPr>
            <w:tabs>
              <w:tab w:val="left" w:pos="5034"/>
            </w:tabs>
            <w:jc w:val="center"/>
            <w:rPr>
              <w:rFonts w:ascii="Arial" w:eastAsia="Arial" w:hAnsi="Arial" w:cs="Arial"/>
            </w:rPr>
          </w:pPr>
          <w:r>
            <w:rPr>
              <w:rFonts w:ascii="Arial" w:eastAsia="Arial" w:hAnsi="Arial" w:cs="Arial"/>
            </w:rPr>
            <w:t>REPÚBLICA DE COLOMBIA</w:t>
          </w:r>
        </w:p>
      </w:tc>
    </w:tr>
    <w:tr w:rsidR="004B2136" w14:paraId="5ED4706F" w14:textId="77777777">
      <w:trPr>
        <w:trHeight w:val="404"/>
        <w:jc w:val="center"/>
      </w:trPr>
      <w:tc>
        <w:tcPr>
          <w:tcW w:w="8505" w:type="dxa"/>
          <w:shd w:val="clear" w:color="auto" w:fill="auto"/>
        </w:tcPr>
        <w:p w14:paraId="4F78A36D" w14:textId="77777777" w:rsidR="004B2136" w:rsidRDefault="001675E9">
          <w:pPr>
            <w:tabs>
              <w:tab w:val="left" w:pos="5034"/>
            </w:tabs>
            <w:jc w:val="center"/>
            <w:rPr>
              <w:rFonts w:ascii="Arial" w:eastAsia="Arial" w:hAnsi="Arial" w:cs="Arial"/>
            </w:rPr>
          </w:pPr>
          <w:r>
            <w:rPr>
              <w:rFonts w:ascii="Arial" w:eastAsia="Arial" w:hAnsi="Arial" w:cs="Arial"/>
              <w:noProof/>
            </w:rPr>
            <w:drawing>
              <wp:inline distT="0" distB="0" distL="0" distR="0" wp14:anchorId="1DAC9175" wp14:editId="00550681">
                <wp:extent cx="647700" cy="82677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700" cy="826770"/>
                        </a:xfrm>
                        <a:prstGeom prst="rect">
                          <a:avLst/>
                        </a:prstGeom>
                        <a:ln/>
                      </pic:spPr>
                    </pic:pic>
                  </a:graphicData>
                </a:graphic>
              </wp:inline>
            </w:drawing>
          </w:r>
        </w:p>
        <w:p w14:paraId="6222744C" w14:textId="77777777" w:rsidR="004B2136" w:rsidRDefault="001675E9">
          <w:pPr>
            <w:tabs>
              <w:tab w:val="left" w:pos="5034"/>
            </w:tabs>
            <w:jc w:val="center"/>
            <w:rPr>
              <w:rFonts w:ascii="Arial" w:eastAsia="Arial" w:hAnsi="Arial" w:cs="Arial"/>
              <w:sz w:val="24"/>
              <w:szCs w:val="24"/>
            </w:rPr>
          </w:pPr>
          <w:r>
            <w:rPr>
              <w:rFonts w:ascii="Arial" w:eastAsia="Arial" w:hAnsi="Arial" w:cs="Arial"/>
              <w:sz w:val="24"/>
              <w:szCs w:val="24"/>
            </w:rPr>
            <w:t>UNIDAD DE PLANEACIÓN MINERO ENERGÉTICA - UPME</w:t>
          </w:r>
        </w:p>
      </w:tc>
    </w:tr>
    <w:tr w:rsidR="004B2136" w14:paraId="0BA7D51B" w14:textId="77777777">
      <w:trPr>
        <w:trHeight w:val="1862"/>
        <w:jc w:val="center"/>
      </w:trPr>
      <w:tc>
        <w:tcPr>
          <w:tcW w:w="8505" w:type="dxa"/>
          <w:shd w:val="clear" w:color="auto" w:fill="auto"/>
        </w:tcPr>
        <w:p w14:paraId="16EA3096" w14:textId="77777777" w:rsidR="004B2136" w:rsidRDefault="004B2136">
          <w:pPr>
            <w:pStyle w:val="Ttulo"/>
            <w:spacing w:before="0" w:after="0"/>
            <w:rPr>
              <w:rFonts w:ascii="Arial Narrow" w:eastAsia="Arial Narrow" w:hAnsi="Arial Narrow" w:cs="Arial Narrow"/>
              <w:sz w:val="20"/>
            </w:rPr>
          </w:pPr>
        </w:p>
        <w:p w14:paraId="3156B14D" w14:textId="77777777" w:rsidR="004B2136" w:rsidRDefault="001675E9">
          <w:pPr>
            <w:pStyle w:val="Ttulo"/>
            <w:spacing w:before="0" w:after="0"/>
            <w:rPr>
              <w:sz w:val="24"/>
              <w:szCs w:val="24"/>
            </w:rPr>
          </w:pPr>
          <w:r>
            <w:rPr>
              <w:sz w:val="24"/>
              <w:szCs w:val="24"/>
            </w:rPr>
            <w:t>RESOLUCIÓN No. SECUENCIA_RADICADO de ANO_RADICADO</w:t>
          </w:r>
        </w:p>
        <w:p w14:paraId="65DCA366" w14:textId="77777777" w:rsidR="004B2136" w:rsidRPr="001675E9" w:rsidRDefault="001675E9">
          <w:pPr>
            <w:keepNext/>
            <w:pBdr>
              <w:top w:val="nil"/>
              <w:left w:val="nil"/>
              <w:bottom w:val="nil"/>
              <w:right w:val="nil"/>
              <w:between w:val="nil"/>
            </w:pBdr>
            <w:jc w:val="center"/>
            <w:rPr>
              <w:rFonts w:ascii="Free 3 of 9" w:eastAsia="Free 3 of 9" w:hAnsi="Free 3 of 9" w:cs="Free 3 of 9"/>
              <w:color w:val="00000A"/>
              <w:sz w:val="56"/>
              <w:szCs w:val="56"/>
              <w:lang w:val="en-US"/>
            </w:rPr>
          </w:pPr>
          <w:r w:rsidRPr="001675E9">
            <w:rPr>
              <w:rFonts w:ascii="Free 3 of 9" w:eastAsia="Free 3 of 9" w:hAnsi="Free 3 of 9" w:cs="Free 3 of 9"/>
              <w:color w:val="00000A"/>
              <w:sz w:val="56"/>
              <w:szCs w:val="56"/>
              <w:lang w:val="en-US"/>
            </w:rPr>
            <w:t>**RAD_S**</w:t>
          </w:r>
        </w:p>
        <w:p w14:paraId="5C756462" w14:textId="77777777" w:rsidR="004B2136" w:rsidRPr="001675E9" w:rsidRDefault="001675E9">
          <w:pPr>
            <w:keepNext/>
            <w:pBdr>
              <w:top w:val="nil"/>
              <w:left w:val="nil"/>
              <w:bottom w:val="nil"/>
              <w:right w:val="nil"/>
              <w:between w:val="nil"/>
            </w:pBdr>
            <w:jc w:val="center"/>
            <w:rPr>
              <w:rFonts w:ascii="Arial Narrow" w:eastAsia="Arial Narrow" w:hAnsi="Arial Narrow" w:cs="Arial Narrow"/>
              <w:b/>
              <w:color w:val="00000A"/>
              <w:sz w:val="22"/>
              <w:szCs w:val="22"/>
              <w:lang w:val="en-US"/>
            </w:rPr>
          </w:pPr>
          <w:r w:rsidRPr="001675E9">
            <w:rPr>
              <w:rFonts w:ascii="Arial Narrow" w:eastAsia="Arial Narrow" w:hAnsi="Arial Narrow" w:cs="Arial Narrow"/>
              <w:b/>
              <w:color w:val="00000A"/>
              <w:sz w:val="22"/>
              <w:szCs w:val="22"/>
              <w:lang w:val="en-US"/>
            </w:rPr>
            <w:t>F_RAD_S</w:t>
          </w:r>
        </w:p>
        <w:p w14:paraId="1E98E5C3" w14:textId="77777777" w:rsidR="004B2136" w:rsidRPr="001675E9" w:rsidRDefault="004B2136">
          <w:pPr>
            <w:keepNext/>
            <w:pBdr>
              <w:top w:val="nil"/>
              <w:left w:val="nil"/>
              <w:bottom w:val="nil"/>
              <w:right w:val="nil"/>
              <w:between w:val="nil"/>
            </w:pBdr>
            <w:jc w:val="center"/>
            <w:rPr>
              <w:rFonts w:ascii="Arial" w:eastAsia="Arial" w:hAnsi="Arial" w:cs="Arial"/>
              <w:b/>
              <w:color w:val="00000A"/>
              <w:lang w:val="en-US"/>
            </w:rPr>
          </w:pPr>
        </w:p>
        <w:p w14:paraId="6AB31B5D" w14:textId="77777777" w:rsidR="004B2136" w:rsidRPr="001675E9" w:rsidRDefault="001675E9">
          <w:pPr>
            <w:keepNext/>
            <w:pBdr>
              <w:top w:val="nil"/>
              <w:left w:val="nil"/>
              <w:bottom w:val="nil"/>
              <w:right w:val="nil"/>
              <w:between w:val="nil"/>
            </w:pBdr>
            <w:jc w:val="center"/>
            <w:rPr>
              <w:rFonts w:ascii="Arial" w:eastAsia="Arial" w:hAnsi="Arial" w:cs="Arial"/>
              <w:b/>
              <w:color w:val="00000A"/>
              <w:sz w:val="24"/>
              <w:szCs w:val="24"/>
              <w:lang w:val="en-US"/>
            </w:rPr>
          </w:pPr>
          <w:proofErr w:type="spellStart"/>
          <w:r w:rsidRPr="001675E9">
            <w:rPr>
              <w:rFonts w:ascii="Arial" w:eastAsia="Arial" w:hAnsi="Arial" w:cs="Arial"/>
              <w:b/>
              <w:color w:val="00000A"/>
              <w:lang w:val="en-US"/>
            </w:rPr>
            <w:t>Radicado</w:t>
          </w:r>
          <w:proofErr w:type="spellEnd"/>
          <w:r w:rsidRPr="001675E9">
            <w:rPr>
              <w:rFonts w:ascii="Arial" w:eastAsia="Arial" w:hAnsi="Arial" w:cs="Arial"/>
              <w:b/>
              <w:color w:val="00000A"/>
              <w:lang w:val="en-US"/>
            </w:rPr>
            <w:t xml:space="preserve"> ORFEO: *RAD_S*</w:t>
          </w:r>
        </w:p>
        <w:p w14:paraId="742DC175" w14:textId="77777777" w:rsidR="004B2136" w:rsidRPr="001675E9" w:rsidRDefault="004B2136">
          <w:pPr>
            <w:jc w:val="center"/>
            <w:rPr>
              <w:rFonts w:ascii="Arial" w:eastAsia="Arial" w:hAnsi="Arial" w:cs="Arial"/>
              <w:i/>
              <w:color w:val="000000"/>
              <w:u w:val="single"/>
              <w:lang w:val="en-US"/>
            </w:rPr>
          </w:pPr>
        </w:p>
        <w:p w14:paraId="1A639D51" w14:textId="77777777" w:rsidR="004B2136" w:rsidRDefault="001675E9">
          <w:pPr>
            <w:jc w:val="center"/>
            <w:rPr>
              <w:rFonts w:ascii="Arial" w:eastAsia="Arial" w:hAnsi="Arial" w:cs="Arial"/>
              <w:i/>
              <w:color w:val="000000"/>
              <w:u w:val="single"/>
            </w:rPr>
          </w:pPr>
          <w:r>
            <w:rPr>
              <w:rFonts w:ascii="Arial" w:eastAsia="Arial" w:hAnsi="Arial" w:cs="Arial"/>
              <w:i/>
              <w:color w:val="000000"/>
              <w:u w:val="single"/>
            </w:rPr>
            <w:t>Por la cual se establece el precio promedio internacional del carbón de referencia y los percentiles de precios promedio mensuales para efectos de determinar los puntos adicionales a la tarifa general del impuesto sobre la renta para el año gravable 2024.</w:t>
          </w:r>
        </w:p>
        <w:p w14:paraId="7A96F0FB" w14:textId="77777777" w:rsidR="004B2136" w:rsidRDefault="004B2136">
          <w:pPr>
            <w:jc w:val="center"/>
            <w:rPr>
              <w:rFonts w:ascii="Arial" w:eastAsia="Arial" w:hAnsi="Arial" w:cs="Arial"/>
              <w:i/>
              <w:color w:val="000000"/>
              <w:u w:val="single"/>
            </w:rPr>
          </w:pPr>
        </w:p>
      </w:tc>
    </w:tr>
  </w:tbl>
  <w:p w14:paraId="40A73377" w14:textId="77777777" w:rsidR="004B2136" w:rsidRDefault="00441B60">
    <w:pPr>
      <w:pBdr>
        <w:top w:val="nil"/>
        <w:left w:val="nil"/>
        <w:bottom w:val="nil"/>
        <w:right w:val="nil"/>
        <w:between w:val="nil"/>
      </w:pBdr>
      <w:tabs>
        <w:tab w:val="center" w:pos="4252"/>
        <w:tab w:val="right" w:pos="8504"/>
      </w:tabs>
      <w:rPr>
        <w:rFonts w:ascii="Arial" w:eastAsia="Arial" w:hAnsi="Arial" w:cs="Arial"/>
        <w:color w:val="000000"/>
        <w:sz w:val="10"/>
        <w:szCs w:val="10"/>
      </w:rPr>
    </w:pPr>
    <w:r>
      <w:rPr>
        <w:color w:val="000000"/>
      </w:rPr>
      <w:pict w14:anchorId="58E743E6">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3B24C1DF">
        <v:shape id="PowerPlusWaterMarkObject2" o:spid="_x0000_s2050" type="#_x0000_m2052" style="position:absolute;margin-left:0;margin-top:0;width:578.55pt;height:60.9pt;rotation:315;z-index:-251655680;mso-position-horizontal:center;mso-position-horizontal-relative:margin;mso-position-vertical:center;mso-position-vertical-relative:margin" o:spt="136" adj="10800" path="m@7,l@8,m@5,21600l@6,21600e" fillcolor="silver"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PROYECTO NORMATIVO"/>
          <o:lock v:ext="edit" text="t" shapetype="t"/>
          <w10:wrap anchorx="margin" anchory="margin"/>
        </v:shape>
      </w:pict>
    </w:r>
    <w:r w:rsidR="001675E9">
      <w:rPr>
        <w:rFonts w:ascii="Arial" w:eastAsia="Arial" w:hAnsi="Arial" w:cs="Arial"/>
        <w:noProof/>
        <w:color w:val="000000"/>
        <w:sz w:val="10"/>
        <w:szCs w:val="10"/>
      </w:rPr>
      <mc:AlternateContent>
        <mc:Choice Requires="wps">
          <w:drawing>
            <wp:anchor distT="0" distB="0" distL="114300" distR="114300" simplePos="0" relativeHeight="251654656" behindDoc="0" locked="0" layoutInCell="1" hidden="0" allowOverlap="1" wp14:anchorId="0C2E5EC8" wp14:editId="69F6DF2B">
              <wp:simplePos x="0" y="0"/>
              <wp:positionH relativeFrom="page">
                <wp:posOffset>790576</wp:posOffset>
              </wp:positionH>
              <wp:positionV relativeFrom="page">
                <wp:posOffset>342901</wp:posOffset>
              </wp:positionV>
              <wp:extent cx="6267450" cy="10496550"/>
              <wp:effectExtent l="0" t="0" r="0" b="0"/>
              <wp:wrapNone/>
              <wp:docPr id="24" name="Rectángulo 24"/>
              <wp:cNvGraphicFramePr/>
              <a:graphic xmlns:a="http://schemas.openxmlformats.org/drawingml/2006/main">
                <a:graphicData uri="http://schemas.microsoft.com/office/word/2010/wordprocessingShape">
                  <wps:wsp>
                    <wps:cNvSpPr/>
                    <wps:spPr>
                      <a:xfrm>
                        <a:off x="2240850" y="0"/>
                        <a:ext cx="6210300" cy="7560000"/>
                      </a:xfrm>
                      <a:prstGeom prst="rect">
                        <a:avLst/>
                      </a:prstGeom>
                      <a:noFill/>
                      <a:ln w="28575" cap="flat" cmpd="sng">
                        <a:solidFill>
                          <a:srgbClr val="000000"/>
                        </a:solidFill>
                        <a:prstDash val="solid"/>
                        <a:miter lim="800000"/>
                        <a:headEnd type="none" w="sm" len="sm"/>
                        <a:tailEnd type="none" w="sm" len="sm"/>
                      </a:ln>
                    </wps:spPr>
                    <wps:txbx>
                      <w:txbxContent>
                        <w:p w14:paraId="63CAF033" w14:textId="77777777" w:rsidR="004B2136" w:rsidRDefault="001675E9">
                          <w:pPr>
                            <w:textDirection w:val="btLr"/>
                          </w:pPr>
                          <w:r>
                            <w:rPr>
                              <w:color w:val="000000"/>
                            </w:rPr>
                            <w:t>“</w:t>
                          </w:r>
                        </w:p>
                      </w:txbxContent>
                    </wps:txbx>
                    <wps:bodyPr spcFirstLastPara="1" wrap="square" lIns="91425" tIns="91425" rIns="91425" bIns="91425" anchor="ctr" anchorCtr="0">
                      <a:noAutofit/>
                    </wps:bodyPr>
                  </wps:wsp>
                </a:graphicData>
              </a:graphic>
            </wp:anchor>
          </w:drawing>
        </mc:Choice>
        <mc:Fallback>
          <w:pict>
            <v:rect id="_x0000_s1028" style="position:absolute;margin-left:62.25pt;margin-top:27pt;width:493.5pt;height:826.5pt;z-index:2516546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" filled="f" strokeweight="2.25pt">
              <v:stroke startarrowwidth="narrow" startarrowlength="short" endarrowwidth="narrow" endarrowlength="short"/>
              <v:textbox inset="2.53958mm,2.53958mm,2.53958mm,2.53958mm">
                <w:txbxContent>
                  <w:p w:rsidR="004B2136" w:rsidRDefault="001675E9">
                    <w:pPr>
                      <w:textDirection w:val="btLr"/>
                    </w:pPr>
                    <w:r>
                      <w:rPr>
                        <w:color w:val="000000"/>
                      </w:rPr>
                      <w: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130"/>
    <w:multiLevelType w:val="multilevel"/>
    <w:tmpl w:val="59185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786F29"/>
    <w:multiLevelType w:val="multilevel"/>
    <w:tmpl w:val="84E26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9F4035"/>
    <w:multiLevelType w:val="multilevel"/>
    <w:tmpl w:val="F1249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CB627C"/>
    <w:multiLevelType w:val="multilevel"/>
    <w:tmpl w:val="FD36AB3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7C53E66"/>
    <w:multiLevelType w:val="multilevel"/>
    <w:tmpl w:val="1E1EB8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36"/>
    <w:rsid w:val="00071044"/>
    <w:rsid w:val="001675E9"/>
    <w:rsid w:val="00441B60"/>
    <w:rsid w:val="004B2136"/>
    <w:rsid w:val="0065303A"/>
    <w:rsid w:val="00744C89"/>
    <w:rsid w:val="0075627D"/>
    <w:rsid w:val="00955BAA"/>
    <w:rsid w:val="00D45F4B"/>
    <w:rsid w:val="00DB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AC7D9BE"/>
  <w15:docId w15:val="{C3085A4A-CD48-4231-851B-AA639CA2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jc w:val="center"/>
      <w:outlineLvl w:val="0"/>
    </w:pPr>
    <w:rPr>
      <w:b/>
      <w:sz w:val="24"/>
      <w:lang w:val="es-ES_tradnl"/>
    </w:rPr>
  </w:style>
  <w:style w:type="paragraph" w:styleId="Ttulo2">
    <w:name w:val="heading 2"/>
    <w:basedOn w:val="Normal"/>
    <w:next w:val="Normal"/>
    <w:link w:val="Ttulo2Car1"/>
    <w:uiPriority w:val="9"/>
    <w:unhideWhenUsed/>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link w:val="Ttulo3Car"/>
    <w:uiPriority w:val="9"/>
    <w:semiHidden/>
    <w:unhideWhenUsed/>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link w:val="Ttulo4Car"/>
    <w:uiPriority w:val="9"/>
    <w:semiHidden/>
    <w:unhideWhenUsed/>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link w:val="Ttulo5Car"/>
    <w:uiPriority w:val="9"/>
    <w:semiHidden/>
    <w:unhideWhenUsed/>
    <w:qFormat/>
    <w:pPr>
      <w:keepNext/>
      <w:jc w:val="center"/>
      <w:outlineLvl w:val="4"/>
    </w:pPr>
    <w:rPr>
      <w:rFonts w:cs="Arial"/>
      <w:b/>
      <w:sz w:val="22"/>
    </w:rPr>
  </w:style>
  <w:style w:type="paragraph" w:styleId="Ttulo6">
    <w:name w:val="heading 6"/>
    <w:basedOn w:val="Normal"/>
    <w:next w:val="Normal"/>
    <w:link w:val="Ttulo6Car"/>
    <w:uiPriority w:val="9"/>
    <w:semiHidden/>
    <w:unhideWhenUsed/>
    <w:qFormat/>
    <w:rsid w:val="00BB6E53"/>
    <w:pPr>
      <w:keepNext/>
      <w:outlineLvl w:val="5"/>
    </w:pPr>
    <w:rPr>
      <w:b/>
      <w:bCs/>
      <w:sz w:val="24"/>
      <w:szCs w:val="24"/>
    </w:rPr>
  </w:style>
  <w:style w:type="paragraph" w:styleId="Ttulo7">
    <w:name w:val="heading 7"/>
    <w:basedOn w:val="Normal"/>
    <w:next w:val="Normal"/>
    <w:link w:val="Ttulo7Car"/>
    <w:qFormat/>
    <w:rsid w:val="00BB6E53"/>
    <w:pPr>
      <w:keepNext/>
      <w:jc w:val="center"/>
      <w:outlineLvl w:val="6"/>
    </w:pPr>
    <w:rPr>
      <w:rFonts w:ascii="Arial" w:hAnsi="Arial" w:cs="Arial"/>
      <w:b/>
      <w:bCs/>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pPr>
      <w:spacing w:before="240" w:after="60"/>
      <w:jc w:val="center"/>
    </w:pPr>
    <w:rPr>
      <w:rFonts w:ascii="Arial" w:hAnsi="Arial"/>
      <w:b/>
      <w:kern w:val="28"/>
      <w:sz w:val="32"/>
      <w:lang w:val="es-ES_tradnl"/>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link w:val="EncabezadoCar"/>
    <w:qFormat/>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link w:val="SangradetextonormalCar"/>
    <w:pPr>
      <w:ind w:left="2832" w:hanging="2832"/>
      <w:jc w:val="both"/>
    </w:pPr>
    <w:rPr>
      <w:rFonts w:ascii="Arial" w:hAnsi="Arial"/>
      <w:sz w:val="24"/>
      <w:lang w:val="es-ES"/>
    </w:rPr>
  </w:style>
  <w:style w:type="paragraph" w:styleId="Textoindependiente2">
    <w:name w:val="Body Text 2"/>
    <w:basedOn w:val="Normal"/>
    <w:link w:val="Textoindependiente2Car"/>
    <w:pPr>
      <w:jc w:val="both"/>
    </w:pPr>
    <w:rPr>
      <w:rFonts w:ascii="Arial" w:hAnsi="Arial" w:cs="Arial"/>
      <w:sz w:val="24"/>
    </w:rPr>
  </w:style>
  <w:style w:type="paragraph" w:styleId="Textoindependiente3">
    <w:name w:val="Body Text 3"/>
    <w:basedOn w:val="Normal"/>
    <w:link w:val="Textoindependiente3Car"/>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qFormat/>
    <w:rsid w:val="00F712F2"/>
    <w:rPr>
      <w:rFonts w:ascii="Segoe UI" w:hAnsi="Segoe UI" w:cs="Segoe UI"/>
      <w:sz w:val="18"/>
      <w:szCs w:val="18"/>
    </w:rPr>
  </w:style>
  <w:style w:type="character" w:customStyle="1" w:styleId="TextodegloboCar">
    <w:name w:val="Texto de globo Car"/>
    <w:link w:val="Textodeglobo"/>
    <w:uiPriority w:val="99"/>
    <w:semiHidden/>
    <w:qFormat/>
    <w:rsid w:val="00F712F2"/>
    <w:rPr>
      <w:rFonts w:ascii="Segoe UI" w:hAnsi="Segoe UI" w:cs="Segoe UI"/>
      <w:sz w:val="18"/>
      <w:szCs w:val="18"/>
      <w:lang w:eastAsia="es-ES"/>
    </w:rPr>
  </w:style>
  <w:style w:type="character" w:styleId="Hipervnculo">
    <w:name w:val="Hyperlink"/>
    <w:uiPriority w:val="99"/>
    <w:unhideWhenUsed/>
    <w:rsid w:val="004B75B9"/>
    <w:rPr>
      <w:color w:val="0000FF"/>
      <w:u w:val="single"/>
    </w:rPr>
  </w:style>
  <w:style w:type="character" w:styleId="Hipervnculovisitado">
    <w:name w:val="FollowedHyperlink"/>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rPr>
  </w:style>
  <w:style w:type="character" w:styleId="Textodelmarcadordeposicin">
    <w:name w:val="Placeholder Text"/>
    <w:basedOn w:val="Fuentedeprrafopredeter"/>
    <w:uiPriority w:val="99"/>
    <w:semiHidden/>
    <w:qFormat/>
    <w:rsid w:val="004C0CE7"/>
    <w:rPr>
      <w:color w:val="808080"/>
    </w:rPr>
  </w:style>
  <w:style w:type="character" w:customStyle="1" w:styleId="Ttulo6Car">
    <w:name w:val="Título 6 Car"/>
    <w:basedOn w:val="Fuentedeprrafopredeter"/>
    <w:link w:val="Ttulo6"/>
    <w:rsid w:val="00BB6E53"/>
    <w:rPr>
      <w:b/>
      <w:bCs/>
      <w:sz w:val="24"/>
      <w:szCs w:val="24"/>
      <w:lang w:val="es-CO" w:eastAsia="es-CO"/>
    </w:rPr>
  </w:style>
  <w:style w:type="character" w:customStyle="1" w:styleId="Ttulo7Car">
    <w:name w:val="Título 7 Car"/>
    <w:basedOn w:val="Fuentedeprrafopredeter"/>
    <w:link w:val="Ttulo7"/>
    <w:rsid w:val="00BB6E53"/>
    <w:rPr>
      <w:rFonts w:ascii="Arial" w:hAnsi="Arial" w:cs="Arial"/>
      <w:b/>
      <w:bCs/>
      <w:sz w:val="28"/>
      <w:szCs w:val="24"/>
      <w:lang w:val="es-CO" w:eastAsia="es-CO"/>
    </w:rPr>
  </w:style>
  <w:style w:type="character" w:customStyle="1" w:styleId="Ttulo1Car">
    <w:name w:val="Título 1 Car"/>
    <w:basedOn w:val="Fuentedeprrafopredeter"/>
    <w:link w:val="Ttulo1"/>
    <w:rsid w:val="00BB6E53"/>
    <w:rPr>
      <w:b/>
      <w:sz w:val="24"/>
      <w:lang w:val="es-ES_tradnl"/>
    </w:rPr>
  </w:style>
  <w:style w:type="character" w:customStyle="1" w:styleId="Ttulo2Car">
    <w:name w:val="Título 2 Car"/>
    <w:basedOn w:val="Fuentedeprrafopredeter"/>
    <w:link w:val="Encabezado2"/>
    <w:uiPriority w:val="9"/>
    <w:qFormat/>
    <w:rsid w:val="00BB6E53"/>
    <w:rPr>
      <w:rFonts w:asciiTheme="majorHAnsi" w:eastAsiaTheme="majorEastAsia" w:hAnsiTheme="majorHAnsi" w:cstheme="majorBidi"/>
      <w:color w:val="2E74B5" w:themeColor="accent1" w:themeShade="BF"/>
      <w:sz w:val="26"/>
      <w:szCs w:val="26"/>
      <w:lang w:val="es-CO"/>
    </w:rPr>
  </w:style>
  <w:style w:type="character" w:customStyle="1" w:styleId="Ttulo3Car">
    <w:name w:val="Título 3 Car"/>
    <w:basedOn w:val="Fuentedeprrafopredeter"/>
    <w:link w:val="Ttulo3"/>
    <w:rsid w:val="00BB6E53"/>
    <w:rPr>
      <w:sz w:val="24"/>
      <w:lang w:val="es-CO"/>
    </w:rPr>
  </w:style>
  <w:style w:type="character" w:customStyle="1" w:styleId="Ttulo4Car">
    <w:name w:val="Título 4 Car"/>
    <w:basedOn w:val="Fuentedeprrafopredeter"/>
    <w:link w:val="Ttulo4"/>
    <w:rsid w:val="00BB6E53"/>
    <w:rPr>
      <w:rFonts w:ascii="Arial" w:hAnsi="Arial"/>
      <w:sz w:val="24"/>
      <w:lang w:val="es-CO"/>
    </w:rPr>
  </w:style>
  <w:style w:type="character" w:customStyle="1" w:styleId="Ttulo5Car">
    <w:name w:val="Título 5 Car"/>
    <w:basedOn w:val="Fuentedeprrafopredeter"/>
    <w:link w:val="Ttulo5"/>
    <w:rsid w:val="00BB6E53"/>
    <w:rPr>
      <w:rFonts w:cs="Arial"/>
      <w:b/>
      <w:sz w:val="22"/>
      <w:lang w:val="es-CO"/>
    </w:rPr>
  </w:style>
  <w:style w:type="character" w:customStyle="1" w:styleId="EncabezadoCar">
    <w:name w:val="Encabezado Car"/>
    <w:basedOn w:val="Fuentedeprrafopredeter"/>
    <w:link w:val="Encabezado"/>
    <w:qFormat/>
    <w:rsid w:val="00BB6E53"/>
    <w:rPr>
      <w:lang w:val="es-CO"/>
    </w:rPr>
  </w:style>
  <w:style w:type="character" w:customStyle="1" w:styleId="PiedepginaCar">
    <w:name w:val="Pie de página Car"/>
    <w:basedOn w:val="Fuentedeprrafopredeter"/>
    <w:link w:val="Piedepgina"/>
    <w:uiPriority w:val="99"/>
    <w:qFormat/>
    <w:rsid w:val="00BB6E53"/>
    <w:rPr>
      <w:lang w:val="es-CO"/>
    </w:rPr>
  </w:style>
  <w:style w:type="character" w:customStyle="1" w:styleId="SangradetextonormalCar">
    <w:name w:val="Sangría de texto normal Car"/>
    <w:basedOn w:val="Fuentedeprrafopredeter"/>
    <w:link w:val="Sangradetextonormal"/>
    <w:rsid w:val="00BB6E53"/>
    <w:rPr>
      <w:rFonts w:ascii="Arial" w:hAnsi="Arial"/>
      <w:sz w:val="24"/>
    </w:rPr>
  </w:style>
  <w:style w:type="character" w:customStyle="1" w:styleId="Textoindependiente2Car">
    <w:name w:val="Texto independiente 2 Car"/>
    <w:basedOn w:val="Fuentedeprrafopredeter"/>
    <w:link w:val="Textoindependiente2"/>
    <w:rsid w:val="00BB6E53"/>
    <w:rPr>
      <w:rFonts w:ascii="Arial" w:hAnsi="Arial" w:cs="Arial"/>
      <w:sz w:val="24"/>
      <w:lang w:val="es-CO"/>
    </w:rPr>
  </w:style>
  <w:style w:type="character" w:customStyle="1" w:styleId="Textoindependiente3Car">
    <w:name w:val="Texto independiente 3 Car"/>
    <w:basedOn w:val="Fuentedeprrafopredeter"/>
    <w:link w:val="Textoindependiente3"/>
    <w:rsid w:val="00BB6E53"/>
    <w:rPr>
      <w:rFonts w:ascii="Arial" w:hAnsi="Arial" w:cs="Arial"/>
      <w:sz w:val="22"/>
      <w:lang w:val="es-ES_tradnl"/>
    </w:rPr>
  </w:style>
  <w:style w:type="character" w:customStyle="1" w:styleId="TtuloCar">
    <w:name w:val="Título Car"/>
    <w:basedOn w:val="Fuentedeprrafopredeter"/>
    <w:link w:val="Ttulo"/>
    <w:uiPriority w:val="10"/>
    <w:rsid w:val="00BB6E53"/>
    <w:rPr>
      <w:rFonts w:ascii="Arial" w:hAnsi="Arial"/>
      <w:b/>
      <w:kern w:val="28"/>
      <w:sz w:val="32"/>
      <w:lang w:val="es-ES_tradnl"/>
    </w:rPr>
  </w:style>
  <w:style w:type="paragraph" w:styleId="Prrafodelista">
    <w:name w:val="List Paragraph"/>
    <w:basedOn w:val="Normal"/>
    <w:link w:val="PrrafodelistaCar"/>
    <w:uiPriority w:val="34"/>
    <w:qFormat/>
    <w:rsid w:val="00BB6E53"/>
    <w:pPr>
      <w:ind w:left="720"/>
      <w:contextualSpacing/>
    </w:pPr>
  </w:style>
  <w:style w:type="paragraph" w:styleId="NormalWeb">
    <w:name w:val="Normal (Web)"/>
    <w:basedOn w:val="Normal"/>
    <w:uiPriority w:val="99"/>
    <w:unhideWhenUsed/>
    <w:qFormat/>
    <w:rsid w:val="00BB6E53"/>
    <w:pPr>
      <w:spacing w:before="100" w:beforeAutospacing="1" w:after="100" w:afterAutospacing="1"/>
    </w:pPr>
    <w:rPr>
      <w:sz w:val="24"/>
      <w:szCs w:val="24"/>
    </w:rPr>
  </w:style>
  <w:style w:type="paragraph" w:styleId="Textonotapie">
    <w:name w:val="footnote text"/>
    <w:basedOn w:val="Normal"/>
    <w:link w:val="TextonotapieCar"/>
    <w:uiPriority w:val="99"/>
    <w:unhideWhenUsed/>
    <w:rsid w:val="00BB6E53"/>
  </w:style>
  <w:style w:type="character" w:customStyle="1" w:styleId="TextonotapieCar">
    <w:name w:val="Texto nota pie Car"/>
    <w:basedOn w:val="Fuentedeprrafopredeter"/>
    <w:link w:val="Textonotapie"/>
    <w:uiPriority w:val="99"/>
    <w:rsid w:val="00BB6E53"/>
    <w:rPr>
      <w:lang w:val="es-CO"/>
    </w:rPr>
  </w:style>
  <w:style w:type="character" w:styleId="Refdenotaalpie">
    <w:name w:val="footnote reference"/>
    <w:basedOn w:val="Fuentedeprrafopredeter"/>
    <w:uiPriority w:val="99"/>
    <w:unhideWhenUsed/>
    <w:rsid w:val="00BB6E53"/>
    <w:rPr>
      <w:vertAlign w:val="superscript"/>
    </w:rPr>
  </w:style>
  <w:style w:type="paragraph" w:styleId="Subttulo">
    <w:name w:val="Subtitle"/>
    <w:basedOn w:val="Normal"/>
    <w:next w:val="Normal"/>
    <w:link w:val="SubttuloCar"/>
    <w:uiPriority w:val="11"/>
    <w:qFormat/>
    <w:pPr>
      <w:spacing w:after="60"/>
      <w:jc w:val="center"/>
    </w:pPr>
    <w:rPr>
      <w:rFonts w:ascii="Arial" w:eastAsia="Arial" w:hAnsi="Arial" w:cs="Arial"/>
      <w:sz w:val="24"/>
      <w:szCs w:val="24"/>
    </w:rPr>
  </w:style>
  <w:style w:type="character" w:customStyle="1" w:styleId="SubttuloCar">
    <w:name w:val="Subtítulo Car"/>
    <w:basedOn w:val="Fuentedeprrafopredeter"/>
    <w:link w:val="Subttulo"/>
    <w:rsid w:val="00BB6E53"/>
    <w:rPr>
      <w:rFonts w:ascii="Arial" w:eastAsia="MS Mincho" w:hAnsi="Arial"/>
      <w:sz w:val="24"/>
      <w:szCs w:val="24"/>
      <w:lang w:val="es-CO"/>
    </w:rPr>
  </w:style>
  <w:style w:type="character" w:customStyle="1" w:styleId="apple-converted-space">
    <w:name w:val="apple-converted-space"/>
    <w:basedOn w:val="Fuentedeprrafopredeter"/>
    <w:rsid w:val="00BB6E53"/>
  </w:style>
  <w:style w:type="character" w:styleId="nfasis">
    <w:name w:val="Emphasis"/>
    <w:basedOn w:val="Fuentedeprrafopredeter"/>
    <w:qFormat/>
    <w:rsid w:val="00BB6E53"/>
    <w:rPr>
      <w:i/>
      <w:iCs/>
    </w:rPr>
  </w:style>
  <w:style w:type="character" w:styleId="Textoennegrita">
    <w:name w:val="Strong"/>
    <w:uiPriority w:val="22"/>
    <w:qFormat/>
    <w:rsid w:val="00BB6E53"/>
    <w:rPr>
      <w:b/>
      <w:bCs/>
    </w:rPr>
  </w:style>
  <w:style w:type="paragraph" w:customStyle="1" w:styleId="Encabezado2">
    <w:name w:val="Encabezado 2"/>
    <w:basedOn w:val="Normal"/>
    <w:next w:val="Normal"/>
    <w:link w:val="Ttulo2Car"/>
    <w:uiPriority w:val="9"/>
    <w:unhideWhenUsed/>
    <w:qFormat/>
    <w:rsid w:val="00BB6E53"/>
    <w:pPr>
      <w:keepNext/>
      <w:keepLines/>
      <w:suppressAutoHyphens/>
      <w:spacing w:before="200" w:line="276" w:lineRule="auto"/>
      <w:outlineLvl w:val="1"/>
    </w:pPr>
    <w:rPr>
      <w:rFonts w:asciiTheme="majorHAnsi" w:eastAsiaTheme="majorEastAsia" w:hAnsiTheme="majorHAnsi" w:cstheme="majorBidi"/>
      <w:color w:val="2E74B5" w:themeColor="accent1" w:themeShade="BF"/>
      <w:sz w:val="26"/>
      <w:szCs w:val="26"/>
    </w:rPr>
  </w:style>
  <w:style w:type="character" w:customStyle="1" w:styleId="codigobarras">
    <w:name w:val="codigo barras"/>
    <w:qFormat/>
    <w:rsid w:val="00BB6E53"/>
    <w:rPr>
      <w:rFonts w:ascii="Code3of9" w:hAnsi="Code3of9"/>
      <w:b w:val="0"/>
    </w:rPr>
  </w:style>
  <w:style w:type="character" w:customStyle="1" w:styleId="EnlacedeInternet">
    <w:name w:val="Enlace de Internet"/>
    <w:uiPriority w:val="99"/>
    <w:unhideWhenUsed/>
    <w:rsid w:val="00BB6E53"/>
    <w:rPr>
      <w:color w:val="0000FF"/>
      <w:u w:val="single"/>
    </w:rPr>
  </w:style>
  <w:style w:type="paragraph" w:customStyle="1" w:styleId="Cuerpodetexto">
    <w:name w:val="Cuerpo de texto"/>
    <w:basedOn w:val="Normal"/>
    <w:rsid w:val="00BB6E53"/>
    <w:pPr>
      <w:suppressAutoHyphens/>
      <w:spacing w:after="140" w:line="288" w:lineRule="auto"/>
    </w:pPr>
    <w:rPr>
      <w:sz w:val="24"/>
      <w:szCs w:val="24"/>
      <w:lang w:val="es-ES"/>
    </w:rPr>
  </w:style>
  <w:style w:type="paragraph" w:styleId="Lista">
    <w:name w:val="List"/>
    <w:basedOn w:val="Cuerpodetexto"/>
    <w:rsid w:val="00BB6E53"/>
    <w:rPr>
      <w:rFonts w:cs="FreeSans"/>
    </w:rPr>
  </w:style>
  <w:style w:type="paragraph" w:customStyle="1" w:styleId="Pie">
    <w:name w:val="Pie"/>
    <w:basedOn w:val="Normal"/>
    <w:rsid w:val="00BB6E53"/>
    <w:pPr>
      <w:suppressLineNumbers/>
      <w:suppressAutoHyphens/>
      <w:spacing w:before="120" w:after="120"/>
    </w:pPr>
    <w:rPr>
      <w:rFonts w:cs="FreeSans"/>
      <w:i/>
      <w:iCs/>
      <w:sz w:val="24"/>
      <w:szCs w:val="24"/>
      <w:lang w:val="es-ES"/>
    </w:rPr>
  </w:style>
  <w:style w:type="paragraph" w:customStyle="1" w:styleId="ndice">
    <w:name w:val="Índice"/>
    <w:basedOn w:val="Normal"/>
    <w:qFormat/>
    <w:rsid w:val="00BB6E53"/>
    <w:pPr>
      <w:suppressLineNumbers/>
      <w:suppressAutoHyphens/>
    </w:pPr>
    <w:rPr>
      <w:rFonts w:cs="FreeSans"/>
      <w:sz w:val="24"/>
      <w:szCs w:val="24"/>
      <w:lang w:val="es-ES"/>
    </w:rPr>
  </w:style>
  <w:style w:type="paragraph" w:customStyle="1" w:styleId="Encabezamiento">
    <w:name w:val="Encabezamiento"/>
    <w:basedOn w:val="Normal"/>
    <w:uiPriority w:val="99"/>
    <w:unhideWhenUsed/>
    <w:rsid w:val="00BB6E53"/>
    <w:pPr>
      <w:tabs>
        <w:tab w:val="center" w:pos="4419"/>
        <w:tab w:val="right" w:pos="8838"/>
      </w:tabs>
      <w:suppressAutoHyphens/>
    </w:pPr>
    <w:rPr>
      <w:rFonts w:ascii="Calibri" w:eastAsia="Calibri" w:hAnsi="Calibri"/>
      <w:sz w:val="22"/>
      <w:szCs w:val="22"/>
    </w:rPr>
  </w:style>
  <w:style w:type="character" w:customStyle="1" w:styleId="Ttulo2Car1">
    <w:name w:val="Título 2 Car1"/>
    <w:basedOn w:val="Fuentedeprrafopredeter"/>
    <w:link w:val="Ttulo2"/>
    <w:rsid w:val="00BB6E53"/>
    <w:rPr>
      <w:b/>
      <w:sz w:val="24"/>
      <w:lang w:val="es-CO"/>
    </w:rPr>
  </w:style>
  <w:style w:type="numbering" w:customStyle="1" w:styleId="Sinlista1">
    <w:name w:val="Sin lista1"/>
    <w:next w:val="Sinlista"/>
    <w:uiPriority w:val="99"/>
    <w:semiHidden/>
    <w:unhideWhenUsed/>
    <w:rsid w:val="00BB6E53"/>
  </w:style>
  <w:style w:type="paragraph" w:styleId="Descripcin">
    <w:name w:val="caption"/>
    <w:basedOn w:val="Normal"/>
    <w:next w:val="Normal"/>
    <w:uiPriority w:val="35"/>
    <w:unhideWhenUsed/>
    <w:qFormat/>
    <w:rsid w:val="00BB6E53"/>
    <w:pPr>
      <w:spacing w:after="200"/>
    </w:pPr>
    <w:rPr>
      <w:rFonts w:ascii="Calibri" w:hAnsi="Calibri"/>
      <w:b/>
      <w:bCs/>
      <w:color w:val="4F81BD"/>
      <w:sz w:val="18"/>
      <w:szCs w:val="18"/>
    </w:rPr>
  </w:style>
  <w:style w:type="character" w:customStyle="1" w:styleId="PrrafodelistaCar">
    <w:name w:val="Párrafo de lista Car"/>
    <w:basedOn w:val="Fuentedeprrafopredeter"/>
    <w:link w:val="Prrafodelista"/>
    <w:uiPriority w:val="34"/>
    <w:locked/>
    <w:rsid w:val="00BB6E53"/>
    <w:rPr>
      <w:lang w:val="es-CO"/>
    </w:rPr>
  </w:style>
  <w:style w:type="character" w:customStyle="1" w:styleId="estilo1">
    <w:name w:val="estilo1"/>
    <w:basedOn w:val="Fuentedeprrafopredeter"/>
    <w:rsid w:val="00BB6E53"/>
  </w:style>
  <w:style w:type="character" w:customStyle="1" w:styleId="A11">
    <w:name w:val="A11"/>
    <w:uiPriority w:val="99"/>
    <w:rsid w:val="00BB6E53"/>
    <w:rPr>
      <w:b/>
      <w:bCs/>
      <w:i/>
      <w:iCs/>
      <w:color w:val="000000"/>
      <w:sz w:val="15"/>
      <w:szCs w:val="15"/>
    </w:rPr>
  </w:style>
  <w:style w:type="character" w:styleId="Refdecomentario">
    <w:name w:val="annotation reference"/>
    <w:basedOn w:val="Fuentedeprrafopredeter"/>
    <w:uiPriority w:val="99"/>
    <w:semiHidden/>
    <w:unhideWhenUsed/>
    <w:rsid w:val="00BB6E53"/>
    <w:rPr>
      <w:sz w:val="16"/>
      <w:szCs w:val="16"/>
    </w:rPr>
  </w:style>
  <w:style w:type="paragraph" w:styleId="Textocomentario">
    <w:name w:val="annotation text"/>
    <w:basedOn w:val="Normal"/>
    <w:link w:val="TextocomentarioCar"/>
    <w:uiPriority w:val="99"/>
    <w:unhideWhenUsed/>
    <w:rsid w:val="00BB6E53"/>
  </w:style>
  <w:style w:type="character" w:customStyle="1" w:styleId="TextocomentarioCar">
    <w:name w:val="Texto comentario Car"/>
    <w:basedOn w:val="Fuentedeprrafopredeter"/>
    <w:link w:val="Textocomentario"/>
    <w:uiPriority w:val="99"/>
    <w:rsid w:val="00BB6E53"/>
    <w:rPr>
      <w:lang w:val="es-CO"/>
    </w:rPr>
  </w:style>
  <w:style w:type="paragraph" w:styleId="Asuntodelcomentario">
    <w:name w:val="annotation subject"/>
    <w:basedOn w:val="Textocomentario"/>
    <w:next w:val="Textocomentario"/>
    <w:link w:val="AsuntodelcomentarioCar"/>
    <w:uiPriority w:val="99"/>
    <w:semiHidden/>
    <w:unhideWhenUsed/>
    <w:rsid w:val="00BB6E53"/>
    <w:rPr>
      <w:b/>
      <w:bCs/>
    </w:rPr>
  </w:style>
  <w:style w:type="character" w:customStyle="1" w:styleId="AsuntodelcomentarioCar">
    <w:name w:val="Asunto del comentario Car"/>
    <w:basedOn w:val="TextocomentarioCar"/>
    <w:link w:val="Asuntodelcomentario"/>
    <w:uiPriority w:val="99"/>
    <w:semiHidden/>
    <w:rsid w:val="00BB6E53"/>
    <w:rPr>
      <w:b/>
      <w:bCs/>
      <w:lang w:val="es-CO"/>
    </w:rPr>
  </w:style>
  <w:style w:type="table" w:styleId="Tabladelista3-nfasis3">
    <w:name w:val="List Table 3 Accent 3"/>
    <w:basedOn w:val="Tablanormal"/>
    <w:uiPriority w:val="48"/>
    <w:rsid w:val="00BB6E53"/>
    <w:rPr>
      <w:rFonts w:ascii="Calibri" w:eastAsia="Calibri" w:hAnsi="Calibr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normal1">
    <w:name w:val="Plain Table 1"/>
    <w:basedOn w:val="Tablanormal"/>
    <w:uiPriority w:val="41"/>
    <w:rsid w:val="00BB6E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BB6E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cabezadoCar1">
    <w:name w:val="Encabezado Car1"/>
    <w:basedOn w:val="Fuentedeprrafopredeter"/>
    <w:semiHidden/>
    <w:rsid w:val="00BB6E53"/>
    <w:rPr>
      <w:rFonts w:ascii="Times New Roman" w:eastAsia="Times New Roman" w:hAnsi="Times New Roman"/>
      <w:sz w:val="24"/>
      <w:szCs w:val="24"/>
      <w:lang w:val="es-ES" w:eastAsia="es-ES"/>
    </w:rPr>
  </w:style>
  <w:style w:type="character" w:customStyle="1" w:styleId="PiedepginaCar1">
    <w:name w:val="Pie de página Car1"/>
    <w:basedOn w:val="Fuentedeprrafopredeter"/>
    <w:semiHidden/>
    <w:rsid w:val="00BB6E53"/>
    <w:rPr>
      <w:rFonts w:ascii="Times New Roman" w:eastAsia="Times New Roman" w:hAnsi="Times New Roman"/>
      <w:sz w:val="24"/>
      <w:szCs w:val="24"/>
      <w:lang w:val="es-ES" w:eastAsia="es-ES"/>
    </w:rPr>
  </w:style>
  <w:style w:type="character" w:customStyle="1" w:styleId="TextodegloboCar1">
    <w:name w:val="Texto de globo Car1"/>
    <w:basedOn w:val="Fuentedeprrafopredeter"/>
    <w:uiPriority w:val="99"/>
    <w:semiHidden/>
    <w:rsid w:val="00BB6E53"/>
    <w:rPr>
      <w:rFonts w:ascii="Segoe UI" w:eastAsia="Times New Roman" w:hAnsi="Segoe UI" w:cs="Segoe UI"/>
      <w:sz w:val="18"/>
      <w:szCs w:val="18"/>
      <w:lang w:val="es-ES" w:eastAsia="es-ES"/>
    </w:rPr>
  </w:style>
  <w:style w:type="table" w:styleId="Tablaconcuadrcula4-nfasis3">
    <w:name w:val="Grid Table 4 Accent 3"/>
    <w:basedOn w:val="Tablanormal"/>
    <w:uiPriority w:val="49"/>
    <w:rsid w:val="00FB4CA0"/>
    <w:rPr>
      <w:rFonts w:ascii="Calibri" w:eastAsia="Calibri" w:hAnsi="Calibr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FB4CA0"/>
    <w:rPr>
      <w:sz w:val="24"/>
      <w:szCs w:val="24"/>
    </w:rPr>
  </w:style>
  <w:style w:type="character" w:customStyle="1" w:styleId="baj">
    <w:name w:val="b_aj"/>
    <w:basedOn w:val="Fuentedeprrafopredeter"/>
    <w:rsid w:val="008B50A1"/>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6">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7">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8">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9">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a">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ata.bls.gov/dataViewer/view/timeseries/CUUR0000SA0"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gogpl.upme.gov.co/busqueda/busquedaPiloto.php?PHPSESSID=sm82qf6m0ab3i1tg4s30ognchq&amp;FormName=Search&amp;FormAction=search&amp;s_RADI_NUME_RADI=&amp;s_DOCTO=&amp;s_CUENTAINTERNA=&amp;s_solo_nomb=All&amp;s_RADI_NOMB=dian&amp;value_buscar_por=y&amp;y=on&amp;s_entrada=9999&amp;s_desde_dia=1&amp;s_desde_mes=10&amp;s_desde_ano=2023&amp;s_hasta_dia=31&amp;s_hasta_mes=10&amp;s_hasta_ano=2023&amp;s_TDOC_CODI=9999&amp;s_RADI_DEPE_ACTU=&amp;Busqueda=B%C3%BAsqueda"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data.bls.gov/dataViewer/view/timeseries/CUUR0000SA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https://data.bls.gov/dataViewer/view/timeseries/CUUR0000SA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DNIoS8OmNx22x2v8jvdRaKxkg==">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A153CF-A323-4095-910B-F9E60681DC14}"/>
</file>

<file path=customXml/itemProps2.xml><?xml version="1.0" encoding="utf-8"?>
<ds:datastoreItem xmlns:ds="http://schemas.openxmlformats.org/officeDocument/2006/customXml" ds:itemID="{BD01F8D1-D72F-469D-B745-9EBD970D7444}"/>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50C7123C-6590-4157-8AA5-C44D6CA953DA}"/>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11559</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UPME</dc:creator>
  <cp:lastModifiedBy>carolina piñeros guzman</cp:lastModifiedBy>
  <cp:revision>2</cp:revision>
  <dcterms:created xsi:type="dcterms:W3CDTF">2025-01-17T21:08:00Z</dcterms:created>
  <dcterms:modified xsi:type="dcterms:W3CDTF">2025-01-17T21:08:00Z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