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BA4" w:rsidRPr="00BD7BA4" w:rsidRDefault="00BD7BA4" w:rsidP="00BD7BA4">
      <w:pPr>
        <w:jc w:val="center"/>
        <w:rPr>
          <w:rFonts w:ascii="Arial Narrow" w:hAnsi="Arial Narrow"/>
          <w:b/>
          <w:u w:val="single"/>
        </w:rPr>
      </w:pPr>
      <w:r w:rsidRPr="00BD7BA4">
        <w:rPr>
          <w:rFonts w:ascii="Arial Narrow" w:hAnsi="Arial Narrow"/>
          <w:b/>
          <w:u w:val="single"/>
        </w:rPr>
        <w:t>Inhabilidades e incompatibilidades</w:t>
      </w:r>
      <w:r w:rsidRPr="00BD7BA4">
        <w:rPr>
          <w:rFonts w:ascii="Arial Narrow" w:hAnsi="Arial Narrow"/>
          <w:b/>
          <w:u w:val="single"/>
        </w:rPr>
        <w:t xml:space="preserve"> Consejo de Directivo Unidad de Planeación Minero Energética</w:t>
      </w:r>
    </w:p>
    <w:p w:rsidR="00BD7BA4" w:rsidRPr="00134593" w:rsidRDefault="00BD7BA4" w:rsidP="00BD7BA4">
      <w:pPr>
        <w:jc w:val="both"/>
        <w:rPr>
          <w:rFonts w:ascii="Arial Narrow" w:hAnsi="Arial Narrow"/>
        </w:rPr>
      </w:pPr>
      <w:r w:rsidRPr="00134593">
        <w:rPr>
          <w:rFonts w:ascii="Arial Narrow" w:hAnsi="Arial Narrow"/>
        </w:rPr>
        <w:t>Atendiendo lo señalado en el artículo 4 del Decreto 2587 de 2012</w:t>
      </w:r>
      <w:r w:rsidRPr="00134593">
        <w:rPr>
          <w:rStyle w:val="Refdenotaalpie"/>
          <w:rFonts w:ascii="Arial Narrow" w:hAnsi="Arial Narrow"/>
        </w:rPr>
        <w:footnoteReference w:id="1"/>
      </w:r>
      <w:r w:rsidRPr="00134593">
        <w:rPr>
          <w:rFonts w:ascii="Arial Narrow" w:hAnsi="Arial Narrow"/>
        </w:rPr>
        <w:t>, las inhabilidades y prohibiciones fundamentales aplicables a los miembros del Consejo Directivo son:</w:t>
      </w:r>
    </w:p>
    <w:tbl>
      <w:tblPr>
        <w:tblStyle w:val="Tablaconcuadrcula"/>
        <w:tblW w:w="13178" w:type="dxa"/>
        <w:tblLook w:val="04A0" w:firstRow="1" w:lastRow="0" w:firstColumn="1" w:lastColumn="0" w:noHBand="0" w:noVBand="1"/>
      </w:tblPr>
      <w:tblGrid>
        <w:gridCol w:w="10485"/>
        <w:gridCol w:w="2693"/>
      </w:tblGrid>
      <w:tr w:rsidR="00BD7BA4" w:rsidRPr="00134593" w:rsidTr="00AB761F">
        <w:tc>
          <w:tcPr>
            <w:tcW w:w="10485" w:type="dxa"/>
          </w:tcPr>
          <w:p w:rsidR="00BD7BA4" w:rsidRPr="00134593" w:rsidRDefault="00BD7BA4" w:rsidP="00AB761F">
            <w:pPr>
              <w:jc w:val="center"/>
              <w:rPr>
                <w:rFonts w:ascii="Arial Narrow" w:hAnsi="Arial Narrow"/>
                <w:b/>
              </w:rPr>
            </w:pPr>
            <w:r w:rsidRPr="00134593">
              <w:rPr>
                <w:rFonts w:ascii="Arial Narrow" w:hAnsi="Arial Narrow"/>
                <w:b/>
              </w:rPr>
              <w:t>Causal de Inhabilidad</w:t>
            </w:r>
          </w:p>
        </w:tc>
        <w:tc>
          <w:tcPr>
            <w:tcW w:w="2693" w:type="dxa"/>
          </w:tcPr>
          <w:p w:rsidR="00BD7BA4" w:rsidRPr="00134593" w:rsidRDefault="00BD7BA4" w:rsidP="00AB761F">
            <w:pPr>
              <w:jc w:val="center"/>
              <w:rPr>
                <w:rFonts w:ascii="Arial Narrow" w:hAnsi="Arial Narrow"/>
                <w:b/>
              </w:rPr>
            </w:pPr>
            <w:r w:rsidRPr="00134593">
              <w:rPr>
                <w:rFonts w:ascii="Arial Narrow" w:hAnsi="Arial Narrow"/>
                <w:b/>
              </w:rPr>
              <w:t>Norma que la fundamenta</w:t>
            </w:r>
          </w:p>
        </w:tc>
      </w:tr>
      <w:tr w:rsidR="00BD7BA4" w:rsidRPr="00134593" w:rsidTr="00AB761F">
        <w:tc>
          <w:tcPr>
            <w:tcW w:w="10485" w:type="dxa"/>
          </w:tcPr>
          <w:p w:rsidR="00BD7BA4" w:rsidRPr="00134593" w:rsidRDefault="00BD7BA4" w:rsidP="00AB761F">
            <w:pPr>
              <w:pStyle w:val="Prrafodelista"/>
              <w:numPr>
                <w:ilvl w:val="0"/>
                <w:numId w:val="1"/>
              </w:numPr>
              <w:ind w:left="313"/>
              <w:rPr>
                <w:rFonts w:ascii="Arial Narrow" w:hAnsi="Arial Narrow"/>
              </w:rPr>
            </w:pPr>
            <w:r w:rsidRPr="00134593">
              <w:rPr>
                <w:rFonts w:ascii="Arial Narrow" w:hAnsi="Arial Narrow"/>
              </w:rPr>
              <w:t>Quienes hayan sido condenados, en cualquier tiempo, por la comisión de delitos que afecten el patrimonio del Estado o quienes hayan sido condenados por delitos relacionados con la pertenencia,</w:t>
            </w:r>
            <w:bookmarkStart w:id="0" w:name="_GoBack"/>
            <w:bookmarkEnd w:id="0"/>
            <w:r w:rsidRPr="00134593">
              <w:rPr>
                <w:rFonts w:ascii="Arial Narrow" w:hAnsi="Arial Narrow"/>
              </w:rPr>
              <w:t xml:space="preserve"> promoción o financiación de grupos armados ilegales, delitos de lesa humanidad o por narcotráfico en Colombia o en el exterior.</w:t>
            </w:r>
          </w:p>
          <w:p w:rsidR="00BD7BA4" w:rsidRPr="00134593" w:rsidRDefault="00BD7BA4" w:rsidP="00AB761F">
            <w:pPr>
              <w:ind w:left="313"/>
              <w:rPr>
                <w:rFonts w:ascii="Arial Narrow" w:hAnsi="Arial Narrow"/>
              </w:rPr>
            </w:pPr>
          </w:p>
          <w:p w:rsidR="00BD7BA4" w:rsidRPr="00134593" w:rsidRDefault="00BD7BA4" w:rsidP="00AB761F">
            <w:pPr>
              <w:pStyle w:val="Prrafodelista"/>
              <w:numPr>
                <w:ilvl w:val="0"/>
                <w:numId w:val="1"/>
              </w:numPr>
              <w:ind w:left="313"/>
              <w:rPr>
                <w:rFonts w:ascii="Arial Narrow" w:hAnsi="Arial Narrow"/>
              </w:rPr>
            </w:pPr>
            <w:r w:rsidRPr="00134593">
              <w:rPr>
                <w:rFonts w:ascii="Arial Narrow" w:hAnsi="Arial Narrow"/>
              </w:rPr>
              <w:t>Tampoco quien haya dado lugar, como servidores públicos, con su conducta dolosa o gravemente culposa, así calificada por sentencia ejecutoriada, a que el Estado sea condenado a una reparación patrimonial, salvo que asuma con cargo a su patrimonio el valor del daño.</w:t>
            </w:r>
          </w:p>
        </w:tc>
        <w:tc>
          <w:tcPr>
            <w:tcW w:w="2693" w:type="dxa"/>
          </w:tcPr>
          <w:p w:rsidR="00BD7BA4" w:rsidRPr="00134593" w:rsidRDefault="00BD7BA4" w:rsidP="00AB761F">
            <w:pPr>
              <w:rPr>
                <w:rFonts w:ascii="Arial Narrow" w:hAnsi="Arial Narrow"/>
              </w:rPr>
            </w:pPr>
            <w:r w:rsidRPr="00134593">
              <w:rPr>
                <w:rFonts w:ascii="Arial Narrow" w:hAnsi="Arial Narrow"/>
              </w:rPr>
              <w:t>Inciso 3, artículo 122 Constitución Política</w:t>
            </w:r>
          </w:p>
        </w:tc>
      </w:tr>
      <w:tr w:rsidR="00BD7BA4" w:rsidRPr="00134593" w:rsidTr="00AB761F">
        <w:tc>
          <w:tcPr>
            <w:tcW w:w="10485" w:type="dxa"/>
          </w:tcPr>
          <w:p w:rsidR="00BD7BA4" w:rsidRPr="00134593" w:rsidRDefault="00BD7BA4" w:rsidP="00AB761F">
            <w:pPr>
              <w:pStyle w:val="Prrafodelista"/>
              <w:numPr>
                <w:ilvl w:val="0"/>
                <w:numId w:val="1"/>
              </w:numPr>
              <w:ind w:left="313"/>
              <w:rPr>
                <w:rFonts w:ascii="Arial Narrow" w:hAnsi="Arial Narrow"/>
              </w:rPr>
            </w:pPr>
            <w:r w:rsidRPr="00134593">
              <w:rPr>
                <w:rFonts w:ascii="Arial Narrow" w:hAnsi="Arial Narrow"/>
              </w:rPr>
              <w:t>Quienes tengan parentesco hasta el cuarto grado de consanguinidad, segundo de afinidad, primero civil, o con quien estén ligados por matrimonio o unión permanente, con los servidores públicos encargados de la designación. Tampoco podrán designar a personas vinculadas por los mismos lazos con servidores públicos competentes para intervenir en su designación.</w:t>
            </w:r>
          </w:p>
        </w:tc>
        <w:tc>
          <w:tcPr>
            <w:tcW w:w="2693" w:type="dxa"/>
          </w:tcPr>
          <w:p w:rsidR="00BD7BA4" w:rsidRPr="00134593" w:rsidRDefault="00BD7BA4" w:rsidP="00AB761F">
            <w:pPr>
              <w:rPr>
                <w:rFonts w:ascii="Arial Narrow" w:hAnsi="Arial Narrow"/>
              </w:rPr>
            </w:pPr>
            <w:r w:rsidRPr="00134593">
              <w:rPr>
                <w:rFonts w:ascii="Arial Narrow" w:hAnsi="Arial Narrow"/>
              </w:rPr>
              <w:t>Artículo 126 Constitución Política</w:t>
            </w:r>
          </w:p>
        </w:tc>
      </w:tr>
      <w:tr w:rsidR="00BD7BA4" w:rsidRPr="00134593" w:rsidTr="00AB761F">
        <w:tc>
          <w:tcPr>
            <w:tcW w:w="10485" w:type="dxa"/>
          </w:tcPr>
          <w:p w:rsidR="00BD7BA4" w:rsidRPr="00134593" w:rsidRDefault="00BD7BA4" w:rsidP="00AB761F">
            <w:pPr>
              <w:rPr>
                <w:rFonts w:ascii="Arial Narrow" w:hAnsi="Arial Narrow"/>
              </w:rPr>
            </w:pPr>
            <w:r w:rsidRPr="00134593">
              <w:rPr>
                <w:rFonts w:ascii="Arial Narrow" w:hAnsi="Arial Narrow"/>
              </w:rPr>
              <w:t>También están inhabilitados quienes:</w:t>
            </w:r>
          </w:p>
          <w:p w:rsidR="00BD7BA4" w:rsidRPr="00134593" w:rsidRDefault="00BD7BA4" w:rsidP="00AB761F">
            <w:pPr>
              <w:rPr>
                <w:rFonts w:ascii="Arial Narrow" w:hAnsi="Arial Narrow"/>
              </w:rPr>
            </w:pPr>
          </w:p>
          <w:p w:rsidR="00BD7BA4" w:rsidRPr="00134593" w:rsidRDefault="00BD7BA4" w:rsidP="00AB761F">
            <w:pPr>
              <w:pStyle w:val="Prrafodelista"/>
              <w:numPr>
                <w:ilvl w:val="0"/>
                <w:numId w:val="1"/>
              </w:numPr>
              <w:ind w:left="313"/>
              <w:rPr>
                <w:rFonts w:ascii="Arial Narrow" w:hAnsi="Arial Narrow"/>
              </w:rPr>
            </w:pPr>
            <w:r w:rsidRPr="00134593">
              <w:rPr>
                <w:rFonts w:ascii="Arial Narrow" w:hAnsi="Arial Narrow"/>
              </w:rPr>
              <w:t>Se hallen en interdicción judicial;</w:t>
            </w:r>
          </w:p>
          <w:p w:rsidR="00BD7BA4" w:rsidRPr="00134593" w:rsidRDefault="00BD7BA4" w:rsidP="00AB761F">
            <w:pPr>
              <w:pStyle w:val="Prrafodelista"/>
              <w:numPr>
                <w:ilvl w:val="0"/>
                <w:numId w:val="1"/>
              </w:numPr>
              <w:ind w:left="313"/>
              <w:rPr>
                <w:rFonts w:ascii="Arial Narrow" w:hAnsi="Arial Narrow"/>
              </w:rPr>
            </w:pPr>
            <w:r w:rsidRPr="00134593">
              <w:rPr>
                <w:rFonts w:ascii="Arial Narrow" w:hAnsi="Arial Narrow"/>
              </w:rPr>
              <w:t>Hubieren sido condenados por delitos contra la administración pública, la administración de justicia o la fe pública, o condenados a pena privativa de la libertad por cualquier delito, exceptuados los culposos y los políticos;</w:t>
            </w:r>
          </w:p>
          <w:p w:rsidR="00BD7BA4" w:rsidRPr="00134593" w:rsidRDefault="00BD7BA4" w:rsidP="00AB761F">
            <w:pPr>
              <w:pStyle w:val="Prrafodelista"/>
              <w:numPr>
                <w:ilvl w:val="0"/>
                <w:numId w:val="1"/>
              </w:numPr>
              <w:ind w:left="313"/>
              <w:rPr>
                <w:rFonts w:ascii="Arial Narrow" w:hAnsi="Arial Narrow"/>
              </w:rPr>
            </w:pPr>
            <w:r w:rsidRPr="00134593">
              <w:rPr>
                <w:rFonts w:ascii="Arial Narrow" w:hAnsi="Arial Narrow"/>
              </w:rPr>
              <w:t>Se encuentren suspendidos en el ejercicio de su profesión o lo hubieren sido por falta grave o se hallen excluidos de ella;</w:t>
            </w:r>
          </w:p>
          <w:p w:rsidR="00BD7BA4" w:rsidRPr="00134593" w:rsidRDefault="00BD7BA4" w:rsidP="00AB761F">
            <w:pPr>
              <w:pStyle w:val="Prrafodelista"/>
              <w:numPr>
                <w:ilvl w:val="0"/>
                <w:numId w:val="1"/>
              </w:numPr>
              <w:ind w:left="313"/>
              <w:rPr>
                <w:rFonts w:ascii="Arial Narrow" w:hAnsi="Arial Narrow"/>
              </w:rPr>
            </w:pPr>
            <w:r w:rsidRPr="00134593">
              <w:rPr>
                <w:rFonts w:ascii="Arial Narrow" w:hAnsi="Arial Narrow"/>
              </w:rPr>
              <w:t>Como empleados públicos de cualquier orden hubieren sido suspendidos por dos veces o destituidos;</w:t>
            </w:r>
          </w:p>
          <w:p w:rsidR="00BD7BA4" w:rsidRPr="00134593" w:rsidRDefault="00BD7BA4" w:rsidP="00AB761F">
            <w:pPr>
              <w:pStyle w:val="Prrafodelista"/>
              <w:numPr>
                <w:ilvl w:val="0"/>
                <w:numId w:val="1"/>
              </w:numPr>
              <w:ind w:left="313"/>
              <w:rPr>
                <w:rFonts w:ascii="Arial Narrow" w:hAnsi="Arial Narrow"/>
              </w:rPr>
            </w:pPr>
            <w:r w:rsidRPr="00134593">
              <w:rPr>
                <w:rFonts w:ascii="Arial Narrow" w:hAnsi="Arial Narrow"/>
              </w:rPr>
              <w:t>Tener relación de parentesco con el Director de la entidad dentro del cuarto grado de consanguinidad, segundo de afinidad o primero civil.</w:t>
            </w:r>
          </w:p>
          <w:p w:rsidR="00BD7BA4" w:rsidRPr="00134593" w:rsidRDefault="00BD7BA4" w:rsidP="00AB761F">
            <w:pPr>
              <w:pStyle w:val="Prrafodelista"/>
              <w:numPr>
                <w:ilvl w:val="0"/>
                <w:numId w:val="1"/>
              </w:numPr>
              <w:ind w:left="313"/>
              <w:rPr>
                <w:rFonts w:ascii="Arial Narrow" w:hAnsi="Arial Narrow"/>
              </w:rPr>
            </w:pPr>
            <w:r w:rsidRPr="00134593">
              <w:rPr>
                <w:rFonts w:ascii="Arial Narrow" w:hAnsi="Arial Narrow"/>
              </w:rPr>
              <w:t>Durante el año anterior a la fecha de su nombramiento hubieren ejercido el control fiscal en la respectiva entidad.</w:t>
            </w:r>
          </w:p>
          <w:p w:rsidR="00BD7BA4" w:rsidRPr="00134593" w:rsidRDefault="00BD7BA4" w:rsidP="00AB761F">
            <w:pPr>
              <w:ind w:left="-47"/>
              <w:rPr>
                <w:rFonts w:ascii="Arial Narrow" w:hAnsi="Arial Narrow"/>
              </w:rPr>
            </w:pPr>
          </w:p>
          <w:p w:rsidR="00BD7BA4" w:rsidRPr="00134593" w:rsidRDefault="00BD7BA4" w:rsidP="00AB761F">
            <w:pPr>
              <w:ind w:left="-47"/>
              <w:rPr>
                <w:rFonts w:ascii="Arial Narrow" w:hAnsi="Arial Narrow"/>
              </w:rPr>
            </w:pPr>
            <w:r w:rsidRPr="00134593">
              <w:rPr>
                <w:rFonts w:ascii="Arial Narrow" w:hAnsi="Arial Narrow"/>
              </w:rPr>
              <w:t>En razón del parentesco y la prestación de servicios profesionales esta norma dispone:</w:t>
            </w:r>
          </w:p>
          <w:p w:rsidR="00BD7BA4" w:rsidRPr="00134593" w:rsidRDefault="00BD7BA4" w:rsidP="00AB761F">
            <w:pPr>
              <w:ind w:left="-47"/>
              <w:rPr>
                <w:rFonts w:ascii="Arial Narrow" w:hAnsi="Arial Narrow"/>
              </w:rPr>
            </w:pPr>
          </w:p>
          <w:p w:rsidR="00BD7BA4" w:rsidRPr="00134593" w:rsidRDefault="00BD7BA4" w:rsidP="00AB761F">
            <w:pPr>
              <w:pStyle w:val="Prrafodelista"/>
              <w:numPr>
                <w:ilvl w:val="0"/>
                <w:numId w:val="1"/>
              </w:numPr>
              <w:ind w:left="313"/>
              <w:rPr>
                <w:rFonts w:ascii="Arial Narrow" w:hAnsi="Arial Narrow"/>
              </w:rPr>
            </w:pPr>
            <w:r w:rsidRPr="00134593">
              <w:rPr>
                <w:rFonts w:ascii="Arial Narrow" w:hAnsi="Arial Narrow"/>
              </w:rPr>
              <w:t>Los miembros de las juntas o consejos directivos no podrán hallarse entre si ni con el gerente o director de la respectiva entidad, dentro del cuarto grado de consanguinidad, segundo de afinidad o primero civil. Habrá lugar a modificar la última elección o designación que se hubiere hecho, si con ella se violó la regla aquí consignada.</w:t>
            </w:r>
          </w:p>
          <w:p w:rsidR="00BD7BA4" w:rsidRPr="00134593" w:rsidRDefault="00BD7BA4" w:rsidP="00AB761F">
            <w:pPr>
              <w:pStyle w:val="Prrafodelista"/>
              <w:numPr>
                <w:ilvl w:val="0"/>
                <w:numId w:val="1"/>
              </w:numPr>
              <w:ind w:left="313"/>
              <w:rPr>
                <w:rFonts w:ascii="Arial Narrow" w:hAnsi="Arial Narrow"/>
              </w:rPr>
            </w:pPr>
            <w:r w:rsidRPr="00134593">
              <w:rPr>
                <w:rFonts w:ascii="Arial Narrow" w:hAnsi="Arial Narrow"/>
              </w:rPr>
              <w:lastRenderedPageBreak/>
              <w:t>Los miembros de las juntas o consejos, durante el ejercicio de sus funciones y dentro del año siguiente a su retiro, y los gerentes o directores, dentro del período últimamente señalado, no podrán prestar sus servicios profesionales en la entidad en la cual actúa o actuaron ni en las que hagan parte del sector administrativo al que aquélla pertenece.</w:t>
            </w:r>
          </w:p>
          <w:p w:rsidR="00BD7BA4" w:rsidRPr="00134593" w:rsidRDefault="00BD7BA4" w:rsidP="00AB761F">
            <w:pPr>
              <w:pStyle w:val="Prrafodelista"/>
              <w:numPr>
                <w:ilvl w:val="0"/>
                <w:numId w:val="1"/>
              </w:numPr>
              <w:ind w:left="313"/>
              <w:rPr>
                <w:rFonts w:ascii="Arial Narrow" w:hAnsi="Arial Narrow"/>
              </w:rPr>
            </w:pPr>
            <w:r w:rsidRPr="00134593">
              <w:rPr>
                <w:rFonts w:ascii="Arial Narrow" w:hAnsi="Arial Narrow"/>
              </w:rPr>
              <w:t>Las juntas y los gerentes o directores no podrán designar para empleos en la respectiva entidad a quienes fueren cónyuges de los miembros de aquellas o de éstos o se hallaren con los mismos dentro del cuatro grado de consanguinidad, segundo de afinidad o primero civil.</w:t>
            </w:r>
          </w:p>
          <w:p w:rsidR="00BD7BA4" w:rsidRPr="00134593" w:rsidRDefault="00BD7BA4" w:rsidP="00AB761F">
            <w:pPr>
              <w:ind w:left="-47"/>
              <w:rPr>
                <w:rFonts w:ascii="Arial Narrow" w:hAnsi="Arial Narrow"/>
              </w:rPr>
            </w:pPr>
          </w:p>
          <w:p w:rsidR="00BD7BA4" w:rsidRPr="00134593" w:rsidRDefault="00BD7BA4" w:rsidP="00AB761F">
            <w:pPr>
              <w:ind w:left="-47"/>
              <w:rPr>
                <w:rFonts w:ascii="Arial Narrow" w:hAnsi="Arial Narrow"/>
              </w:rPr>
            </w:pPr>
            <w:r w:rsidRPr="00134593">
              <w:rPr>
                <w:rFonts w:ascii="Arial Narrow" w:hAnsi="Arial Narrow"/>
              </w:rPr>
              <w:t>Finalmente, el Decreto en mención prohibe:</w:t>
            </w:r>
          </w:p>
          <w:p w:rsidR="00BD7BA4" w:rsidRPr="00134593" w:rsidRDefault="00BD7BA4" w:rsidP="00AB761F">
            <w:pPr>
              <w:ind w:left="-47"/>
              <w:rPr>
                <w:rFonts w:ascii="Arial Narrow" w:hAnsi="Arial Narrow"/>
              </w:rPr>
            </w:pPr>
          </w:p>
          <w:p w:rsidR="00BD7BA4" w:rsidRPr="00134593" w:rsidRDefault="00BD7BA4" w:rsidP="00AB761F">
            <w:pPr>
              <w:pStyle w:val="Prrafodelista"/>
              <w:numPr>
                <w:ilvl w:val="0"/>
                <w:numId w:val="1"/>
              </w:numPr>
              <w:ind w:left="313"/>
              <w:rPr>
                <w:rFonts w:ascii="Arial Narrow" w:hAnsi="Arial Narrow"/>
              </w:rPr>
            </w:pPr>
            <w:r w:rsidRPr="00134593">
              <w:rPr>
                <w:rFonts w:ascii="Arial Narrow" w:hAnsi="Arial Narrow"/>
              </w:rPr>
              <w:t>Aceptar, sin permiso del Gobierno, cargos, mercedes, invitaciones o cualquier clase de prebendas provenientes de entidades o Gobiernos extranjeros.</w:t>
            </w:r>
          </w:p>
          <w:p w:rsidR="00BD7BA4" w:rsidRPr="00134593" w:rsidRDefault="00BD7BA4" w:rsidP="00AB761F">
            <w:pPr>
              <w:ind w:left="-47"/>
              <w:rPr>
                <w:rFonts w:ascii="Arial Narrow" w:hAnsi="Arial Narrow"/>
              </w:rPr>
            </w:pPr>
          </w:p>
          <w:p w:rsidR="00BD7BA4" w:rsidRPr="00134593" w:rsidRDefault="00BD7BA4" w:rsidP="00AB761F">
            <w:pPr>
              <w:pStyle w:val="Prrafodelista"/>
              <w:numPr>
                <w:ilvl w:val="0"/>
                <w:numId w:val="1"/>
              </w:numPr>
              <w:ind w:left="313"/>
              <w:rPr>
                <w:rFonts w:ascii="Arial Narrow" w:hAnsi="Arial Narrow"/>
              </w:rPr>
            </w:pPr>
            <w:r w:rsidRPr="00134593">
              <w:rPr>
                <w:rFonts w:ascii="Arial Narrow" w:hAnsi="Arial Narrow"/>
              </w:rPr>
              <w:t>Solicitar o recibir, directamente o por interpuesta persona, gratificaciones, dádivas o recompensas como retribución por actos inherentes a su cargo;</w:t>
            </w:r>
          </w:p>
          <w:p w:rsidR="00BD7BA4" w:rsidRPr="00134593" w:rsidRDefault="00BD7BA4" w:rsidP="00AB761F">
            <w:pPr>
              <w:ind w:left="-47"/>
              <w:rPr>
                <w:rFonts w:ascii="Arial Narrow" w:hAnsi="Arial Narrow"/>
              </w:rPr>
            </w:pPr>
          </w:p>
          <w:p w:rsidR="00BD7BA4" w:rsidRPr="00134593" w:rsidRDefault="00BD7BA4" w:rsidP="00AB761F">
            <w:pPr>
              <w:pStyle w:val="Prrafodelista"/>
              <w:numPr>
                <w:ilvl w:val="0"/>
                <w:numId w:val="1"/>
              </w:numPr>
              <w:ind w:left="313"/>
              <w:rPr>
                <w:rFonts w:ascii="Arial Narrow" w:hAnsi="Arial Narrow"/>
              </w:rPr>
            </w:pPr>
            <w:r w:rsidRPr="00134593">
              <w:rPr>
                <w:rFonts w:ascii="Arial Narrow" w:hAnsi="Arial Narrow"/>
              </w:rPr>
              <w:t>Solicitar o aceptar comisiones en dinero o en especie por concepto de adquisición de bienes y servicios para el organismo.</w:t>
            </w:r>
          </w:p>
          <w:p w:rsidR="00BD7BA4" w:rsidRPr="00134593" w:rsidRDefault="00BD7BA4" w:rsidP="00AB761F">
            <w:pPr>
              <w:ind w:left="-47"/>
              <w:rPr>
                <w:rFonts w:ascii="Arial Narrow" w:hAnsi="Arial Narrow"/>
              </w:rPr>
            </w:pPr>
          </w:p>
        </w:tc>
        <w:tc>
          <w:tcPr>
            <w:tcW w:w="2693" w:type="dxa"/>
          </w:tcPr>
          <w:p w:rsidR="00BD7BA4" w:rsidRPr="00134593" w:rsidRDefault="00BD7BA4" w:rsidP="00AB761F">
            <w:pPr>
              <w:rPr>
                <w:rFonts w:ascii="Arial Narrow" w:hAnsi="Arial Narrow"/>
              </w:rPr>
            </w:pPr>
            <w:r w:rsidRPr="00134593">
              <w:rPr>
                <w:rFonts w:ascii="Arial Narrow" w:hAnsi="Arial Narrow"/>
              </w:rPr>
              <w:lastRenderedPageBreak/>
              <w:t>Decreto 126 de 1978</w:t>
            </w:r>
            <w:r w:rsidRPr="00134593">
              <w:rPr>
                <w:rStyle w:val="Refdenotaalpie"/>
                <w:rFonts w:ascii="Arial Narrow" w:hAnsi="Arial Narrow"/>
              </w:rPr>
              <w:footnoteReference w:id="2"/>
            </w:r>
          </w:p>
        </w:tc>
      </w:tr>
      <w:tr w:rsidR="00BD7BA4" w:rsidRPr="00134593" w:rsidTr="00AB761F">
        <w:tc>
          <w:tcPr>
            <w:tcW w:w="10485" w:type="dxa"/>
          </w:tcPr>
          <w:p w:rsidR="00BD7BA4" w:rsidRPr="00134593" w:rsidRDefault="00BD7BA4" w:rsidP="00AB761F">
            <w:pPr>
              <w:rPr>
                <w:rFonts w:ascii="Arial Narrow" w:hAnsi="Arial Narrow"/>
              </w:rPr>
            </w:pPr>
            <w:r w:rsidRPr="00134593">
              <w:rPr>
                <w:rFonts w:ascii="Arial Narrow" w:hAnsi="Arial Narrow"/>
              </w:rPr>
              <w:lastRenderedPageBreak/>
              <w:t>Adicionalmente, la norma prohíbe:</w:t>
            </w:r>
          </w:p>
          <w:p w:rsidR="00BD7BA4" w:rsidRPr="00134593" w:rsidRDefault="00BD7BA4" w:rsidP="00AB761F">
            <w:pPr>
              <w:pStyle w:val="Prrafodelista"/>
              <w:numPr>
                <w:ilvl w:val="0"/>
                <w:numId w:val="1"/>
              </w:numPr>
              <w:ind w:left="313"/>
              <w:jc w:val="both"/>
              <w:rPr>
                <w:rFonts w:ascii="Arial Narrow" w:hAnsi="Arial Narrow"/>
              </w:rPr>
            </w:pPr>
            <w:r w:rsidRPr="00134593">
              <w:rPr>
                <w:rFonts w:ascii="Arial Narrow" w:hAnsi="Arial Narrow"/>
              </w:rPr>
              <w:t>Prestar, a título personal o por interpuesta persona, servicios de asistencia, representación o asesoría en asuntos relacionados con las funciones propias del cargo, o permitir que ello ocurra, hasta por el término de dos (2) años después de la dejación del cargo, con respecto del organismo, entidad o corporación en la cual prestó sus servicios, y para la prestación de servicios de asistencia, representación o asesoría a quienes estuvieron sujetos a la inspección, vigilancia, control o regulación de la entidad, corporación u organismos al que se haya estado vinculado. Esta prohibición será indefinida en el tiempo respecto de los asuntos concretos de los cuales el servidor conoció en ejercicio de sus funciones. Se entiende por asuntos concretos de los cuales conoció en ejercicio de sus funciones aquellos de carácter particular y concreto que fueron objeto de decisión durante el ejercicio de sus funciones y de los cuales existe sujetos claramente determinados.</w:t>
            </w:r>
          </w:p>
          <w:p w:rsidR="00BD7BA4" w:rsidRPr="00134593" w:rsidRDefault="00BD7BA4" w:rsidP="00AB761F">
            <w:pPr>
              <w:pStyle w:val="Prrafodelista"/>
              <w:ind w:left="313"/>
              <w:jc w:val="both"/>
              <w:rPr>
                <w:rFonts w:ascii="Arial Narrow" w:hAnsi="Arial Narrow"/>
              </w:rPr>
            </w:pPr>
          </w:p>
          <w:p w:rsidR="00BD7BA4" w:rsidRPr="00134593" w:rsidRDefault="00BD7BA4" w:rsidP="00AB761F">
            <w:pPr>
              <w:pStyle w:val="Prrafodelista"/>
              <w:numPr>
                <w:ilvl w:val="0"/>
                <w:numId w:val="1"/>
              </w:numPr>
              <w:ind w:left="313"/>
              <w:jc w:val="both"/>
              <w:rPr>
                <w:rFonts w:ascii="Arial Narrow" w:hAnsi="Arial Narrow"/>
              </w:rPr>
            </w:pPr>
            <w:r w:rsidRPr="00134593">
              <w:rPr>
                <w:rFonts w:ascii="Arial Narrow" w:hAnsi="Arial Narrow"/>
              </w:rPr>
              <w:t>Además de la descrita en el inciso final del artículo 122 de la Constitución Política, haber sido condenado a pena privativa de la libertad mayor de cuatro años por delito doloso dentro de los diez años anteriores, salvo que se trate de delito político.</w:t>
            </w:r>
          </w:p>
          <w:p w:rsidR="00BD7BA4" w:rsidRPr="00134593" w:rsidRDefault="00BD7BA4" w:rsidP="00AB761F">
            <w:pPr>
              <w:pStyle w:val="Prrafodelista"/>
              <w:numPr>
                <w:ilvl w:val="0"/>
                <w:numId w:val="1"/>
              </w:numPr>
              <w:ind w:left="313"/>
              <w:jc w:val="both"/>
              <w:rPr>
                <w:rFonts w:ascii="Arial Narrow" w:hAnsi="Arial Narrow"/>
              </w:rPr>
            </w:pPr>
            <w:r w:rsidRPr="00134593">
              <w:rPr>
                <w:rFonts w:ascii="Arial Narrow" w:hAnsi="Arial Narrow"/>
              </w:rPr>
              <w:t>Haber sido sancionado disciplinariamente tres o más veces en los últimos cinco (5) años por faltas graves o leves dolosas o por ambas. Esta inhabilidad tendrá una duración de tres años contados a partir de la ejecutoria de la última sanción.</w:t>
            </w:r>
          </w:p>
          <w:p w:rsidR="00BD7BA4" w:rsidRPr="00134593" w:rsidRDefault="00BD7BA4" w:rsidP="00AB761F">
            <w:pPr>
              <w:pStyle w:val="Prrafodelista"/>
              <w:ind w:left="313"/>
              <w:jc w:val="both"/>
              <w:rPr>
                <w:rFonts w:ascii="Arial Narrow" w:hAnsi="Arial Narrow"/>
              </w:rPr>
            </w:pPr>
          </w:p>
          <w:p w:rsidR="00BD7BA4" w:rsidRPr="00134593" w:rsidRDefault="00BD7BA4" w:rsidP="00AB761F">
            <w:pPr>
              <w:pStyle w:val="Prrafodelista"/>
              <w:numPr>
                <w:ilvl w:val="0"/>
                <w:numId w:val="1"/>
              </w:numPr>
              <w:ind w:left="313"/>
              <w:jc w:val="both"/>
              <w:rPr>
                <w:rFonts w:ascii="Arial Narrow" w:hAnsi="Arial Narrow"/>
              </w:rPr>
            </w:pPr>
            <w:r w:rsidRPr="00134593">
              <w:rPr>
                <w:rFonts w:ascii="Arial Narrow" w:hAnsi="Arial Narrow"/>
              </w:rPr>
              <w:t>Reitera la inhabilidad de hallarse en estado de interdicción judicial o inhabilitado por una sanción disciplinaria o penal, o suspendido en el ejercicio de su profesión o excluido de esta, cuando el cargo a desempeñar se relacione con la misma.</w:t>
            </w:r>
          </w:p>
          <w:p w:rsidR="00BD7BA4" w:rsidRPr="00134593" w:rsidRDefault="00BD7BA4" w:rsidP="00AB761F">
            <w:pPr>
              <w:pStyle w:val="Prrafodelista"/>
              <w:ind w:left="313"/>
              <w:jc w:val="both"/>
              <w:rPr>
                <w:rFonts w:ascii="Arial Narrow" w:hAnsi="Arial Narrow"/>
              </w:rPr>
            </w:pPr>
          </w:p>
          <w:p w:rsidR="00BD7BA4" w:rsidRPr="00134593" w:rsidRDefault="00BD7BA4" w:rsidP="00AB761F">
            <w:pPr>
              <w:pStyle w:val="Prrafodelista"/>
              <w:numPr>
                <w:ilvl w:val="0"/>
                <w:numId w:val="1"/>
              </w:numPr>
              <w:ind w:left="313"/>
              <w:jc w:val="both"/>
              <w:rPr>
                <w:rFonts w:ascii="Arial Narrow" w:hAnsi="Arial Narrow"/>
              </w:rPr>
            </w:pPr>
            <w:r w:rsidRPr="00134593">
              <w:rPr>
                <w:rFonts w:ascii="Arial Narrow" w:hAnsi="Arial Narrow"/>
              </w:rPr>
              <w:t>Haber sido declarado responsable fiscalmente</w:t>
            </w:r>
          </w:p>
        </w:tc>
        <w:tc>
          <w:tcPr>
            <w:tcW w:w="2693" w:type="dxa"/>
          </w:tcPr>
          <w:p w:rsidR="00BD7BA4" w:rsidRPr="00134593" w:rsidRDefault="00BD7BA4" w:rsidP="00AB761F">
            <w:pPr>
              <w:rPr>
                <w:rFonts w:ascii="Arial Narrow" w:hAnsi="Arial Narrow"/>
              </w:rPr>
            </w:pPr>
            <w:r w:rsidRPr="00134593">
              <w:rPr>
                <w:rFonts w:ascii="Arial Narrow" w:hAnsi="Arial Narrow"/>
              </w:rPr>
              <w:t>Leyes 734 de 2002</w:t>
            </w:r>
            <w:r w:rsidRPr="00134593">
              <w:rPr>
                <w:rStyle w:val="Refdenotaalpie"/>
                <w:rFonts w:ascii="Arial Narrow" w:hAnsi="Arial Narrow"/>
              </w:rPr>
              <w:footnoteReference w:id="3"/>
            </w:r>
            <w:r w:rsidRPr="00134593">
              <w:rPr>
                <w:rFonts w:ascii="Arial Narrow" w:hAnsi="Arial Narrow"/>
              </w:rPr>
              <w:t xml:space="preserve"> y 1474 de 2011</w:t>
            </w:r>
            <w:r w:rsidRPr="00134593">
              <w:rPr>
                <w:rStyle w:val="Refdenotaalpie"/>
                <w:rFonts w:ascii="Arial Narrow" w:hAnsi="Arial Narrow"/>
              </w:rPr>
              <w:footnoteReference w:id="4"/>
            </w:r>
          </w:p>
        </w:tc>
      </w:tr>
      <w:tr w:rsidR="00BD7BA4" w:rsidRPr="00134593" w:rsidTr="00AB761F">
        <w:tc>
          <w:tcPr>
            <w:tcW w:w="10485" w:type="dxa"/>
          </w:tcPr>
          <w:p w:rsidR="00BD7BA4" w:rsidRPr="00134593" w:rsidRDefault="00BD7BA4" w:rsidP="00AB761F">
            <w:pPr>
              <w:rPr>
                <w:rFonts w:ascii="Arial Narrow" w:hAnsi="Arial Narrow"/>
              </w:rPr>
            </w:pPr>
            <w:r w:rsidRPr="00134593">
              <w:rPr>
                <w:rFonts w:ascii="Arial Narrow" w:hAnsi="Arial Narrow"/>
              </w:rPr>
              <w:lastRenderedPageBreak/>
              <w:t>En materia contractual, se prevén las siguientes inhabilidades para contratar:</w:t>
            </w:r>
          </w:p>
          <w:p w:rsidR="00BD7BA4" w:rsidRPr="00134593" w:rsidRDefault="00BD7BA4" w:rsidP="00AB761F">
            <w:pPr>
              <w:rPr>
                <w:rFonts w:ascii="Arial Narrow" w:hAnsi="Arial Narrow"/>
              </w:rPr>
            </w:pPr>
          </w:p>
          <w:p w:rsidR="00BD7BA4" w:rsidRPr="00134593" w:rsidRDefault="00BD7BA4" w:rsidP="00AB761F">
            <w:pPr>
              <w:pStyle w:val="Prrafodelista"/>
              <w:numPr>
                <w:ilvl w:val="0"/>
                <w:numId w:val="1"/>
              </w:numPr>
              <w:ind w:left="313"/>
              <w:jc w:val="both"/>
              <w:rPr>
                <w:rFonts w:ascii="Arial Narrow" w:hAnsi="Arial Narrow"/>
              </w:rPr>
            </w:pPr>
            <w:r w:rsidRPr="00134593">
              <w:rPr>
                <w:rFonts w:ascii="Arial Narrow" w:hAnsi="Arial Narrow"/>
              </w:rPr>
              <w:t>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w:t>
            </w:r>
          </w:p>
          <w:p w:rsidR="00BD7BA4" w:rsidRPr="00134593" w:rsidRDefault="00BD7BA4" w:rsidP="00AB761F">
            <w:pPr>
              <w:pStyle w:val="Prrafodelista"/>
              <w:ind w:left="313"/>
              <w:jc w:val="both"/>
              <w:rPr>
                <w:rFonts w:ascii="Arial Narrow" w:hAnsi="Arial Narrow"/>
              </w:rPr>
            </w:pPr>
          </w:p>
          <w:p w:rsidR="00BD7BA4" w:rsidRPr="00134593" w:rsidRDefault="00BD7BA4" w:rsidP="00AB761F">
            <w:pPr>
              <w:pStyle w:val="Prrafodelista"/>
              <w:ind w:left="313"/>
              <w:jc w:val="both"/>
              <w:rPr>
                <w:rFonts w:ascii="Arial Narrow" w:hAnsi="Arial Narrow"/>
              </w:rPr>
            </w:pPr>
            <w:r w:rsidRPr="00134593">
              <w:rPr>
                <w:rFonts w:ascii="Arial Narrow" w:hAnsi="Arial Narrow"/>
              </w:rPr>
              <w:t>Esta incompatibilidad también operará para las personas que se encuentren dentro del primer grado de consanguinidad, primero de afinidad, o primero civil del ex empleado público.</w:t>
            </w:r>
          </w:p>
          <w:p w:rsidR="00BD7BA4" w:rsidRPr="00134593" w:rsidRDefault="00BD7BA4" w:rsidP="00AB761F">
            <w:pPr>
              <w:pStyle w:val="NormalWeb"/>
              <w:shd w:val="clear" w:color="auto" w:fill="FFFFFF"/>
              <w:rPr>
                <w:rFonts w:ascii="Arial Narrow" w:eastAsiaTheme="minorHAnsi" w:hAnsi="Arial Narrow" w:cstheme="minorBidi"/>
                <w:sz w:val="22"/>
                <w:szCs w:val="22"/>
                <w:lang w:eastAsia="en-US"/>
              </w:rPr>
            </w:pPr>
            <w:r w:rsidRPr="00134593">
              <w:rPr>
                <w:rFonts w:ascii="Arial Narrow" w:eastAsiaTheme="minorHAnsi" w:hAnsi="Arial Narrow" w:cstheme="minorBidi"/>
                <w:sz w:val="22"/>
                <w:szCs w:val="22"/>
                <w:lang w:eastAsia="en-US"/>
              </w:rPr>
              <w:t>Tampoco podrán participar en licitaciones ni celebrar contratos estatales con la entidad respectiva:</w:t>
            </w:r>
          </w:p>
          <w:p w:rsidR="00BD7BA4" w:rsidRPr="00134593" w:rsidRDefault="00BD7BA4" w:rsidP="00AB761F">
            <w:pPr>
              <w:pStyle w:val="Prrafodelista"/>
              <w:numPr>
                <w:ilvl w:val="0"/>
                <w:numId w:val="1"/>
              </w:numPr>
              <w:ind w:left="313"/>
              <w:jc w:val="both"/>
              <w:rPr>
                <w:rFonts w:ascii="Arial Narrow" w:hAnsi="Arial Narrow"/>
              </w:rPr>
            </w:pPr>
            <w:r w:rsidRPr="00134593">
              <w:rPr>
                <w:rFonts w:ascii="Arial Narrow" w:hAnsi="Arial Narrow"/>
              </w:rPr>
              <w:t>Quienes fueron miembros de la junta o consejo directivo o servidores públicos de la entidad contratante. Esta incompatibilidad sólo comprende a quienes desempeñaron funciones en los niveles directivo, asesor o ejecutivo y se extiende por el término de un (1) año, contado a partir de la fecha del retiro.</w:t>
            </w:r>
          </w:p>
          <w:p w:rsidR="00BD7BA4" w:rsidRPr="00134593" w:rsidRDefault="00BD7BA4" w:rsidP="00AB761F">
            <w:pPr>
              <w:pStyle w:val="Prrafodelista"/>
              <w:ind w:left="313"/>
              <w:jc w:val="both"/>
              <w:rPr>
                <w:rFonts w:ascii="Arial Narrow" w:hAnsi="Arial Narrow"/>
              </w:rPr>
            </w:pPr>
          </w:p>
          <w:p w:rsidR="00BD7BA4" w:rsidRPr="00134593" w:rsidRDefault="00BD7BA4" w:rsidP="00AB761F">
            <w:pPr>
              <w:pStyle w:val="Prrafodelista"/>
              <w:numPr>
                <w:ilvl w:val="0"/>
                <w:numId w:val="1"/>
              </w:numPr>
              <w:ind w:left="313"/>
              <w:jc w:val="both"/>
              <w:rPr>
                <w:rFonts w:ascii="Arial Narrow" w:hAnsi="Arial Narrow"/>
              </w:rPr>
            </w:pPr>
            <w:r w:rsidRPr="00134593">
              <w:rPr>
                <w:rFonts w:ascii="Arial Narrow" w:hAnsi="Arial Narrow"/>
              </w:rPr>
              <w:t>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w:t>
            </w:r>
          </w:p>
          <w:p w:rsidR="00BD7BA4" w:rsidRPr="00134593" w:rsidRDefault="00BD7BA4" w:rsidP="00AB761F">
            <w:pPr>
              <w:pStyle w:val="Prrafodelista"/>
              <w:ind w:left="313"/>
              <w:jc w:val="both"/>
              <w:rPr>
                <w:rFonts w:ascii="Arial Narrow" w:hAnsi="Arial Narrow"/>
              </w:rPr>
            </w:pPr>
          </w:p>
          <w:p w:rsidR="00BD7BA4" w:rsidRPr="00134593" w:rsidRDefault="00BD7BA4" w:rsidP="00AB761F">
            <w:pPr>
              <w:pStyle w:val="Prrafodelista"/>
              <w:numPr>
                <w:ilvl w:val="0"/>
                <w:numId w:val="1"/>
              </w:numPr>
              <w:ind w:left="313"/>
              <w:jc w:val="both"/>
              <w:rPr>
                <w:rFonts w:ascii="Arial Narrow" w:hAnsi="Arial Narrow"/>
              </w:rPr>
            </w:pPr>
            <w:r w:rsidRPr="00134593">
              <w:rPr>
                <w:rFonts w:ascii="Arial Narrow" w:hAnsi="Arial Narrow"/>
              </w:rPr>
              <w:t>El cónyuge compañero o compañera permanente del servidor público en los niveles directivo, asesor, ejecutivo, o de un miembro de la junta o consejo directivo, o de quien ejerza funciones de control interno o de control fiscal.</w:t>
            </w:r>
          </w:p>
          <w:p w:rsidR="00BD7BA4" w:rsidRPr="00134593" w:rsidRDefault="00BD7BA4" w:rsidP="00AB761F">
            <w:pPr>
              <w:pStyle w:val="Prrafodelista"/>
              <w:ind w:left="313"/>
              <w:jc w:val="both"/>
              <w:rPr>
                <w:rFonts w:ascii="Arial Narrow" w:hAnsi="Arial Narrow"/>
              </w:rPr>
            </w:pPr>
          </w:p>
          <w:p w:rsidR="00BD7BA4" w:rsidRPr="00134593" w:rsidRDefault="00BD7BA4" w:rsidP="00AB761F">
            <w:pPr>
              <w:pStyle w:val="Prrafodelista"/>
              <w:numPr>
                <w:ilvl w:val="0"/>
                <w:numId w:val="1"/>
              </w:numPr>
              <w:ind w:left="313"/>
              <w:jc w:val="both"/>
              <w:rPr>
                <w:rFonts w:ascii="Arial Narrow" w:hAnsi="Arial Narrow"/>
              </w:rPr>
            </w:pPr>
            <w:r w:rsidRPr="00134593">
              <w:rPr>
                <w:rFonts w:ascii="Arial Narrow" w:hAnsi="Arial Narrow"/>
              </w:rPr>
              <w:t>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 tenga participación o desempeñe cargos de dirección o manejo. –esta no aplica para XM porque su asiento en el Consejo está dispuesto por la ley-.</w:t>
            </w:r>
          </w:p>
          <w:p w:rsidR="00BD7BA4" w:rsidRPr="00134593" w:rsidRDefault="00BD7BA4" w:rsidP="00AB761F">
            <w:pPr>
              <w:pStyle w:val="Prrafodelista"/>
              <w:ind w:left="313"/>
              <w:jc w:val="both"/>
              <w:rPr>
                <w:rFonts w:ascii="Arial Narrow" w:hAnsi="Arial Narrow"/>
              </w:rPr>
            </w:pPr>
          </w:p>
          <w:p w:rsidR="00BD7BA4" w:rsidRPr="00134593" w:rsidRDefault="00BD7BA4" w:rsidP="00AB761F">
            <w:pPr>
              <w:pStyle w:val="Prrafodelista"/>
              <w:numPr>
                <w:ilvl w:val="0"/>
                <w:numId w:val="1"/>
              </w:numPr>
              <w:ind w:left="313"/>
              <w:jc w:val="both"/>
              <w:rPr>
                <w:rFonts w:ascii="Arial Narrow" w:hAnsi="Arial Narrow"/>
              </w:rPr>
            </w:pPr>
            <w:r w:rsidRPr="00134593">
              <w:rPr>
                <w:rFonts w:ascii="Arial Narrow" w:hAnsi="Arial Narrow"/>
              </w:rPr>
              <w:t>Los miembros de las juntas o consejos directivos. Esta incompatibilidad sólo se predica respecto de la entidad a la cual prestan sus servicios y de las del sector administrativo al que la misma esté adscrita o vinculada.</w:t>
            </w:r>
          </w:p>
        </w:tc>
        <w:tc>
          <w:tcPr>
            <w:tcW w:w="2693" w:type="dxa"/>
          </w:tcPr>
          <w:p w:rsidR="00BD7BA4" w:rsidRPr="00134593" w:rsidRDefault="00BD7BA4" w:rsidP="00AB761F">
            <w:pPr>
              <w:rPr>
                <w:rFonts w:ascii="Arial Narrow" w:hAnsi="Arial Narrow"/>
              </w:rPr>
            </w:pPr>
            <w:r w:rsidRPr="00134593">
              <w:rPr>
                <w:rFonts w:ascii="Arial Narrow" w:hAnsi="Arial Narrow"/>
              </w:rPr>
              <w:t>Ley 80 de 1993</w:t>
            </w:r>
            <w:r w:rsidRPr="00134593">
              <w:rPr>
                <w:rStyle w:val="Refdenotaalpie"/>
                <w:rFonts w:ascii="Arial Narrow" w:hAnsi="Arial Narrow"/>
              </w:rPr>
              <w:footnoteReference w:id="5"/>
            </w:r>
          </w:p>
        </w:tc>
      </w:tr>
      <w:tr w:rsidR="00BD7BA4" w:rsidRPr="00134593" w:rsidTr="00AB761F">
        <w:tc>
          <w:tcPr>
            <w:tcW w:w="10485" w:type="dxa"/>
          </w:tcPr>
          <w:p w:rsidR="00BD7BA4" w:rsidRPr="00134593" w:rsidRDefault="00BD7BA4" w:rsidP="00AB761F">
            <w:pPr>
              <w:rPr>
                <w:rFonts w:ascii="Arial Narrow" w:hAnsi="Arial Narrow"/>
              </w:rPr>
            </w:pPr>
            <w:r w:rsidRPr="00134593">
              <w:rPr>
                <w:rFonts w:ascii="Arial Narrow" w:hAnsi="Arial Narrow"/>
              </w:rPr>
              <w:t>a) Se hallen en interdicción judicial;</w:t>
            </w:r>
          </w:p>
          <w:p w:rsidR="00BD7BA4" w:rsidRDefault="00BD7BA4" w:rsidP="00AB761F">
            <w:pPr>
              <w:rPr>
                <w:rFonts w:ascii="Arial Narrow" w:hAnsi="Arial Narrow"/>
              </w:rPr>
            </w:pPr>
          </w:p>
          <w:p w:rsidR="00BD7BA4" w:rsidRPr="00134593" w:rsidRDefault="00BD7BA4" w:rsidP="00AB761F">
            <w:pPr>
              <w:rPr>
                <w:rFonts w:ascii="Arial Narrow" w:hAnsi="Arial Narrow"/>
              </w:rPr>
            </w:pPr>
            <w:r w:rsidRPr="00134593">
              <w:rPr>
                <w:rFonts w:ascii="Arial Narrow" w:hAnsi="Arial Narrow"/>
              </w:rPr>
              <w:t>b) Hubieren sido condenados por delitos contra la administración pública, la administración de justicia o la fe pública, o condenados a pena privativa de la libertad por cualquier delito, exceptuados los culposos y los políticos;</w:t>
            </w:r>
          </w:p>
          <w:p w:rsidR="00BD7BA4" w:rsidRDefault="00BD7BA4" w:rsidP="00AB761F">
            <w:pPr>
              <w:rPr>
                <w:rFonts w:ascii="Arial Narrow" w:hAnsi="Arial Narrow"/>
              </w:rPr>
            </w:pPr>
          </w:p>
          <w:p w:rsidR="00BD7BA4" w:rsidRPr="00134593" w:rsidRDefault="00BD7BA4" w:rsidP="00AB761F">
            <w:pPr>
              <w:rPr>
                <w:rFonts w:ascii="Arial Narrow" w:hAnsi="Arial Narrow"/>
              </w:rPr>
            </w:pPr>
            <w:r w:rsidRPr="00134593">
              <w:rPr>
                <w:rFonts w:ascii="Arial Narrow" w:hAnsi="Arial Narrow"/>
              </w:rPr>
              <w:t>d) Se encuentren suspendidos en el ejercicio de su profesión o lo hubieren sido por falta grave o se hallen excluidos de ella;</w:t>
            </w:r>
          </w:p>
          <w:p w:rsidR="00BD7BA4" w:rsidRDefault="00BD7BA4" w:rsidP="00AB761F">
            <w:pPr>
              <w:rPr>
                <w:rFonts w:ascii="Arial Narrow" w:hAnsi="Arial Narrow"/>
              </w:rPr>
            </w:pPr>
          </w:p>
          <w:p w:rsidR="00BD7BA4" w:rsidRPr="00134593" w:rsidRDefault="00BD7BA4" w:rsidP="00AB761F">
            <w:pPr>
              <w:rPr>
                <w:rFonts w:ascii="Arial Narrow" w:hAnsi="Arial Narrow"/>
              </w:rPr>
            </w:pPr>
            <w:r w:rsidRPr="00134593">
              <w:rPr>
                <w:rFonts w:ascii="Arial Narrow" w:hAnsi="Arial Narrow"/>
              </w:rPr>
              <w:t>e) Como empleados públicos de cualquier orden hubieren sido suspendidos por dos veces o destituidos;</w:t>
            </w:r>
          </w:p>
          <w:p w:rsidR="00BD7BA4" w:rsidRDefault="00BD7BA4" w:rsidP="00AB761F">
            <w:pPr>
              <w:rPr>
                <w:rFonts w:ascii="Arial Narrow" w:hAnsi="Arial Narrow"/>
              </w:rPr>
            </w:pPr>
          </w:p>
          <w:p w:rsidR="00BD7BA4" w:rsidRPr="00134593" w:rsidRDefault="00BD7BA4" w:rsidP="00AB761F">
            <w:pPr>
              <w:rPr>
                <w:rFonts w:ascii="Arial Narrow" w:hAnsi="Arial Narrow"/>
              </w:rPr>
            </w:pPr>
            <w:r w:rsidRPr="00134593">
              <w:rPr>
                <w:rFonts w:ascii="Arial Narrow" w:hAnsi="Arial Narrow"/>
              </w:rPr>
              <w:t>f) Tener relación de parentesco con el Director de la entidad dentro del cuarto grado de consanguinidad, segundo de afinidad o primero civil.</w:t>
            </w:r>
          </w:p>
          <w:p w:rsidR="00BD7BA4" w:rsidRDefault="00BD7BA4" w:rsidP="00AB761F">
            <w:pPr>
              <w:rPr>
                <w:rFonts w:ascii="Arial Narrow" w:hAnsi="Arial Narrow"/>
              </w:rPr>
            </w:pPr>
          </w:p>
          <w:p w:rsidR="00BD7BA4" w:rsidRPr="00134593" w:rsidRDefault="00BD7BA4" w:rsidP="00AB761F">
            <w:pPr>
              <w:rPr>
                <w:rFonts w:ascii="Arial Narrow" w:hAnsi="Arial Narrow"/>
              </w:rPr>
            </w:pPr>
            <w:r w:rsidRPr="00134593">
              <w:rPr>
                <w:rFonts w:ascii="Arial Narrow" w:hAnsi="Arial Narrow"/>
              </w:rPr>
              <w:t>g) Durante el año anterior a la fecha de su nombramiento hubieren ejercido el control fiscal en la respectiva entidad.</w:t>
            </w:r>
          </w:p>
        </w:tc>
        <w:tc>
          <w:tcPr>
            <w:tcW w:w="2693" w:type="dxa"/>
          </w:tcPr>
          <w:p w:rsidR="00BD7BA4" w:rsidRPr="00134593" w:rsidRDefault="00BD7BA4" w:rsidP="00AB761F">
            <w:pPr>
              <w:rPr>
                <w:rFonts w:ascii="Arial Narrow" w:hAnsi="Arial Narrow"/>
              </w:rPr>
            </w:pPr>
            <w:r>
              <w:rPr>
                <w:rFonts w:ascii="Arial Narrow" w:hAnsi="Arial Narrow"/>
              </w:rPr>
              <w:lastRenderedPageBreak/>
              <w:t>Decreto 2587 de 2012</w:t>
            </w:r>
          </w:p>
        </w:tc>
      </w:tr>
    </w:tbl>
    <w:p w:rsidR="00BD7BA4" w:rsidRPr="00134593" w:rsidRDefault="00BD7BA4" w:rsidP="00BD7BA4">
      <w:pPr>
        <w:rPr>
          <w:rFonts w:ascii="Arial Narrow" w:hAnsi="Arial Narrow"/>
        </w:rPr>
      </w:pPr>
    </w:p>
    <w:p w:rsidR="00031493" w:rsidRDefault="007B64E0"/>
    <w:sectPr w:rsidR="00031493" w:rsidSect="00E87D31">
      <w:footerReference w:type="default" r:id="rId7"/>
      <w:pgSz w:w="15840" w:h="12240" w:orient="landscape"/>
      <w:pgMar w:top="851"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4E0" w:rsidRDefault="007B64E0" w:rsidP="00BD7BA4">
      <w:pPr>
        <w:spacing w:after="0" w:line="240" w:lineRule="auto"/>
      </w:pPr>
      <w:r>
        <w:separator/>
      </w:r>
    </w:p>
  </w:endnote>
  <w:endnote w:type="continuationSeparator" w:id="0">
    <w:p w:rsidR="007B64E0" w:rsidRDefault="007B64E0" w:rsidP="00BD7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840229"/>
      <w:docPartObj>
        <w:docPartGallery w:val="Page Numbers (Bottom of Page)"/>
        <w:docPartUnique/>
      </w:docPartObj>
    </w:sdtPr>
    <w:sdtEndPr/>
    <w:sdtContent>
      <w:p w:rsidR="00202F5F" w:rsidRDefault="007B64E0">
        <w:pPr>
          <w:pStyle w:val="Piedepgina"/>
          <w:jc w:val="right"/>
        </w:pPr>
        <w:r>
          <w:fldChar w:fldCharType="begin"/>
        </w:r>
        <w:r>
          <w:instrText>PAGE   \* MERGEFORMAT</w:instrText>
        </w:r>
        <w:r>
          <w:fldChar w:fldCharType="separate"/>
        </w:r>
        <w:r w:rsidR="00BD7BA4" w:rsidRPr="00BD7BA4">
          <w:rPr>
            <w:noProof/>
            <w:lang w:val="es-ES"/>
          </w:rPr>
          <w:t>2</w:t>
        </w:r>
        <w:r>
          <w:fldChar w:fldCharType="end"/>
        </w:r>
      </w:p>
    </w:sdtContent>
  </w:sdt>
  <w:p w:rsidR="00202F5F" w:rsidRDefault="007B64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4E0" w:rsidRDefault="007B64E0" w:rsidP="00BD7BA4">
      <w:pPr>
        <w:spacing w:after="0" w:line="240" w:lineRule="auto"/>
      </w:pPr>
      <w:r>
        <w:separator/>
      </w:r>
    </w:p>
  </w:footnote>
  <w:footnote w:type="continuationSeparator" w:id="0">
    <w:p w:rsidR="007B64E0" w:rsidRDefault="007B64E0" w:rsidP="00BD7BA4">
      <w:pPr>
        <w:spacing w:after="0" w:line="240" w:lineRule="auto"/>
      </w:pPr>
      <w:r>
        <w:continuationSeparator/>
      </w:r>
    </w:p>
  </w:footnote>
  <w:footnote w:id="1">
    <w:p w:rsidR="00BD7BA4" w:rsidRPr="00435B98" w:rsidRDefault="00BD7BA4" w:rsidP="00BD7BA4">
      <w:pPr>
        <w:pStyle w:val="Default"/>
        <w:jc w:val="both"/>
        <w:rPr>
          <w:rFonts w:ascii="Arial Narrow" w:hAnsi="Arial Narrow"/>
          <w:sz w:val="18"/>
          <w:szCs w:val="18"/>
        </w:rPr>
      </w:pPr>
      <w:r w:rsidRPr="00435B98">
        <w:rPr>
          <w:rStyle w:val="Refdenotaalpie"/>
          <w:rFonts w:ascii="Arial Narrow" w:hAnsi="Arial Narrow"/>
          <w:sz w:val="18"/>
          <w:szCs w:val="18"/>
        </w:rPr>
        <w:footnoteRef/>
      </w:r>
      <w:r w:rsidRPr="00435B98">
        <w:rPr>
          <w:rFonts w:ascii="Arial Narrow" w:hAnsi="Arial Narrow"/>
          <w:sz w:val="18"/>
          <w:szCs w:val="18"/>
        </w:rPr>
        <w:t xml:space="preserve"> Por el cual se señalan las funciones del Consejo Directivo de la Unidad de Planeación Minero Energética -UPME-y se dictan otras disposiciones sobre su funcionamiento.</w:t>
      </w:r>
    </w:p>
  </w:footnote>
  <w:footnote w:id="2">
    <w:p w:rsidR="00BD7BA4" w:rsidRDefault="00BD7BA4" w:rsidP="00BD7BA4">
      <w:pPr>
        <w:pStyle w:val="Textonotapie"/>
        <w:jc w:val="both"/>
        <w:rPr>
          <w:rStyle w:val="Textoennegrita"/>
          <w:rFonts w:ascii="Arial Narrow" w:hAnsi="Arial Narrow" w:cs="Arial"/>
          <w:b w:val="0"/>
          <w:color w:val="000000"/>
          <w:sz w:val="18"/>
          <w:szCs w:val="18"/>
          <w:shd w:val="clear" w:color="auto" w:fill="FFFFFF"/>
        </w:rPr>
      </w:pPr>
      <w:r w:rsidRPr="00435B98">
        <w:rPr>
          <w:rStyle w:val="Refdenotaalpie"/>
          <w:rFonts w:ascii="Arial Narrow" w:hAnsi="Arial Narrow" w:cs="Arial"/>
          <w:sz w:val="18"/>
          <w:szCs w:val="18"/>
        </w:rPr>
        <w:footnoteRef/>
      </w:r>
      <w:r w:rsidRPr="00435B98">
        <w:rPr>
          <w:rFonts w:ascii="Arial Narrow" w:hAnsi="Arial Narrow" w:cs="Arial"/>
          <w:b/>
          <w:sz w:val="18"/>
          <w:szCs w:val="18"/>
        </w:rPr>
        <w:t xml:space="preserve"> </w:t>
      </w:r>
      <w:r w:rsidRPr="00D130EE">
        <w:rPr>
          <w:rFonts w:ascii="Arial Narrow" w:hAnsi="Arial Narrow" w:cs="Arial"/>
          <w:sz w:val="18"/>
          <w:szCs w:val="18"/>
        </w:rPr>
        <w:t>P</w:t>
      </w:r>
      <w:r w:rsidRPr="00D130EE">
        <w:rPr>
          <w:rStyle w:val="Textoennegrita"/>
          <w:rFonts w:ascii="Arial Narrow" w:hAnsi="Arial Narrow" w:cs="Arial"/>
          <w:color w:val="000000"/>
          <w:sz w:val="18"/>
          <w:szCs w:val="18"/>
          <w:shd w:val="clear" w:color="auto" w:fill="FFFFFF"/>
        </w:rPr>
        <w:t>o</w:t>
      </w:r>
      <w:r w:rsidRPr="00435B98">
        <w:rPr>
          <w:rStyle w:val="Textoennegrita"/>
          <w:rFonts w:ascii="Arial Narrow" w:hAnsi="Arial Narrow" w:cs="Arial"/>
          <w:b w:val="0"/>
          <w:color w:val="000000"/>
          <w:sz w:val="18"/>
          <w:szCs w:val="18"/>
          <w:shd w:val="clear" w:color="auto" w:fill="FFFFFF"/>
        </w:rPr>
        <w:t>r el cual se dicta el estatuto de inhabilidades, incompatibilidades y responsabilidades de los miembros de las juntas directivas de las entidades descentralizadas y de los representantes legales de estas.</w:t>
      </w:r>
    </w:p>
    <w:p w:rsidR="00BD7BA4" w:rsidRPr="00D130EE" w:rsidRDefault="00BD7BA4" w:rsidP="00BD7BA4">
      <w:pPr>
        <w:pStyle w:val="Textonotapie"/>
        <w:jc w:val="both"/>
        <w:rPr>
          <w:rFonts w:ascii="Arial Narrow" w:hAnsi="Arial Narrow" w:cs="Arial"/>
          <w:i/>
          <w:sz w:val="18"/>
          <w:szCs w:val="18"/>
        </w:rPr>
      </w:pPr>
      <w:r w:rsidRPr="00D130EE">
        <w:rPr>
          <w:rStyle w:val="Textoennegrita"/>
          <w:rFonts w:ascii="Arial Narrow" w:hAnsi="Arial Narrow" w:cs="Arial"/>
          <w:b w:val="0"/>
          <w:color w:val="000000"/>
          <w:sz w:val="18"/>
          <w:szCs w:val="18"/>
          <w:shd w:val="clear" w:color="auto" w:fill="FFFFFF"/>
        </w:rPr>
        <w:t>La norma citada prevé: “</w:t>
      </w:r>
      <w:r w:rsidRPr="00D130EE">
        <w:rPr>
          <w:rFonts w:ascii="Arial Narrow" w:hAnsi="Arial Narrow" w:cs="Arial"/>
          <w:bCs/>
          <w:i/>
          <w:color w:val="000000"/>
          <w:sz w:val="18"/>
          <w:szCs w:val="18"/>
          <w:shd w:val="clear" w:color="auto" w:fill="FFFFFF"/>
        </w:rPr>
        <w:t>Artículo 4°. Incompatibilidades e Inhabilidades.-Los miembros integrantes del Consejo Directivo de la UPME, estarán ,sujetos a las incompatibilidades e inhabilidades previstas en la Constitución Política de Colombia y en las normas vigentes que regulen la materia para los miembros de consejos directivos de entidades descentralizadas”.</w:t>
      </w:r>
    </w:p>
  </w:footnote>
  <w:footnote w:id="3">
    <w:p w:rsidR="00BD7BA4" w:rsidRPr="00D130EE" w:rsidRDefault="00BD7BA4" w:rsidP="00BD7BA4">
      <w:pPr>
        <w:pStyle w:val="Textonotapie"/>
        <w:rPr>
          <w:rFonts w:ascii="Arial Narrow" w:hAnsi="Arial Narrow"/>
        </w:rPr>
      </w:pPr>
      <w:r w:rsidRPr="00D130EE">
        <w:rPr>
          <w:rStyle w:val="Refdenotaalpie"/>
          <w:rFonts w:ascii="Arial Narrow" w:hAnsi="Arial Narrow"/>
        </w:rPr>
        <w:footnoteRef/>
      </w:r>
      <w:r w:rsidRPr="00D130EE">
        <w:rPr>
          <w:rFonts w:ascii="Arial Narrow" w:hAnsi="Arial Narrow"/>
        </w:rPr>
        <w:t xml:space="preserve"> </w:t>
      </w:r>
      <w:r w:rsidRPr="00D130EE">
        <w:rPr>
          <w:rStyle w:val="Textoennegrita"/>
          <w:rFonts w:ascii="Arial Narrow" w:hAnsi="Arial Narrow" w:cs="Arial"/>
          <w:b w:val="0"/>
          <w:color w:val="000000"/>
          <w:sz w:val="18"/>
          <w:szCs w:val="18"/>
          <w:shd w:val="clear" w:color="auto" w:fill="FFFFFF"/>
        </w:rPr>
        <w:t>por la cual se expide el Código Disciplinario Único.</w:t>
      </w:r>
    </w:p>
  </w:footnote>
  <w:footnote w:id="4">
    <w:p w:rsidR="00BD7BA4" w:rsidRPr="00D130EE" w:rsidRDefault="00BD7BA4" w:rsidP="00BD7BA4">
      <w:pPr>
        <w:pStyle w:val="Textonotapie"/>
        <w:rPr>
          <w:b/>
        </w:rPr>
      </w:pPr>
      <w:r w:rsidRPr="00D130EE">
        <w:rPr>
          <w:rStyle w:val="Refdenotaalpie"/>
          <w:rFonts w:ascii="Arial Narrow" w:hAnsi="Arial Narrow"/>
        </w:rPr>
        <w:footnoteRef/>
      </w:r>
      <w:r>
        <w:t xml:space="preserve"> </w:t>
      </w:r>
      <w:r w:rsidRPr="00D130EE">
        <w:rPr>
          <w:rStyle w:val="Textoennegrita"/>
          <w:rFonts w:ascii="Arial Narrow" w:hAnsi="Arial Narrow" w:cs="Arial"/>
          <w:b w:val="0"/>
          <w:color w:val="000000"/>
          <w:sz w:val="18"/>
          <w:szCs w:val="18"/>
          <w:shd w:val="clear" w:color="auto" w:fill="FFFFFF"/>
        </w:rPr>
        <w:t>Por la cual se dictan normas orientadas a fortalecer los mecanismos de prevención, investigación y sanción de actos de corrupción y la efectividad del control de la gestión pública.</w:t>
      </w:r>
    </w:p>
  </w:footnote>
  <w:footnote w:id="5">
    <w:p w:rsidR="00BD7BA4" w:rsidRPr="00D130EE" w:rsidRDefault="00BD7BA4" w:rsidP="00BD7BA4">
      <w:pPr>
        <w:pStyle w:val="Textonotapie"/>
        <w:rPr>
          <w:rFonts w:ascii="Arial Narrow" w:hAnsi="Arial Narrow"/>
          <w:b/>
          <w:sz w:val="18"/>
          <w:szCs w:val="18"/>
        </w:rPr>
      </w:pPr>
      <w:r w:rsidRPr="00D130EE">
        <w:rPr>
          <w:rStyle w:val="Refdenotaalpie"/>
          <w:rFonts w:ascii="Arial Narrow" w:hAnsi="Arial Narrow"/>
          <w:b/>
          <w:sz w:val="18"/>
          <w:szCs w:val="18"/>
        </w:rPr>
        <w:footnoteRef/>
      </w:r>
      <w:r w:rsidRPr="00D130EE">
        <w:rPr>
          <w:rFonts w:ascii="Arial Narrow" w:hAnsi="Arial Narrow"/>
          <w:b/>
          <w:sz w:val="18"/>
          <w:szCs w:val="18"/>
        </w:rPr>
        <w:t xml:space="preserve"> </w:t>
      </w:r>
      <w:r w:rsidRPr="00D130EE">
        <w:rPr>
          <w:rStyle w:val="Textoennegrita"/>
          <w:rFonts w:ascii="Arial Narrow" w:hAnsi="Arial Narrow" w:cs="Arial"/>
          <w:b w:val="0"/>
          <w:color w:val="000000"/>
          <w:sz w:val="18"/>
          <w:szCs w:val="18"/>
          <w:shd w:val="clear" w:color="auto" w:fill="FFFFFF"/>
        </w:rPr>
        <w:t>Por la cual se expide el Estatuto General de Contratación de la Administración Pública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A3578"/>
    <w:multiLevelType w:val="hybridMultilevel"/>
    <w:tmpl w:val="B1B4F8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F5C7282"/>
    <w:multiLevelType w:val="hybridMultilevel"/>
    <w:tmpl w:val="3530CF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A4"/>
    <w:rsid w:val="003E5DE0"/>
    <w:rsid w:val="00404F6E"/>
    <w:rsid w:val="007B64E0"/>
    <w:rsid w:val="00BD7B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BD461-C1B2-4AAE-AF37-597916DA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D7BA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7BA4"/>
    <w:rPr>
      <w:sz w:val="20"/>
      <w:szCs w:val="20"/>
    </w:rPr>
  </w:style>
  <w:style w:type="character" w:styleId="Refdenotaalpie">
    <w:name w:val="footnote reference"/>
    <w:basedOn w:val="Fuentedeprrafopredeter"/>
    <w:uiPriority w:val="99"/>
    <w:semiHidden/>
    <w:unhideWhenUsed/>
    <w:rsid w:val="00BD7BA4"/>
    <w:rPr>
      <w:vertAlign w:val="superscript"/>
    </w:rPr>
  </w:style>
  <w:style w:type="character" w:styleId="Textoennegrita">
    <w:name w:val="Strong"/>
    <w:basedOn w:val="Fuentedeprrafopredeter"/>
    <w:uiPriority w:val="22"/>
    <w:qFormat/>
    <w:rsid w:val="00BD7BA4"/>
    <w:rPr>
      <w:b/>
      <w:bCs/>
    </w:rPr>
  </w:style>
  <w:style w:type="paragraph" w:customStyle="1" w:styleId="Default">
    <w:name w:val="Default"/>
    <w:rsid w:val="00BD7BA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BD7BA4"/>
    <w:pPr>
      <w:ind w:left="720"/>
      <w:contextualSpacing/>
    </w:pPr>
  </w:style>
  <w:style w:type="paragraph" w:styleId="NormalWeb">
    <w:name w:val="Normal (Web)"/>
    <w:basedOn w:val="Normal"/>
    <w:uiPriority w:val="99"/>
    <w:semiHidden/>
    <w:unhideWhenUsed/>
    <w:rsid w:val="00BD7BA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BD7B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7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A821D7075CC4478FA4DD69826BB194" ma:contentTypeVersion="2" ma:contentTypeDescription="Crear nuevo documento." ma:contentTypeScope="" ma:versionID="3a42981ef9020c23350f33a440132fdf">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60FE9A-908A-46B6-A6AF-8047447633C6}"/>
</file>

<file path=customXml/itemProps2.xml><?xml version="1.0" encoding="utf-8"?>
<ds:datastoreItem xmlns:ds="http://schemas.openxmlformats.org/officeDocument/2006/customXml" ds:itemID="{6F6B54A7-A29F-449C-9B33-BE1AA649745A}"/>
</file>

<file path=customXml/itemProps3.xml><?xml version="1.0" encoding="utf-8"?>
<ds:datastoreItem xmlns:ds="http://schemas.openxmlformats.org/officeDocument/2006/customXml" ds:itemID="{842BA5AE-0874-4314-BD32-91B007005A92}"/>
</file>

<file path=docProps/app.xml><?xml version="1.0" encoding="utf-8"?>
<Properties xmlns="http://schemas.openxmlformats.org/officeDocument/2006/extended-properties" xmlns:vt="http://schemas.openxmlformats.org/officeDocument/2006/docPropsVTypes">
  <Template>Normal</Template>
  <TotalTime>1</TotalTime>
  <Pages>4</Pages>
  <Words>1343</Words>
  <Characters>7388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Bejarano Bejarano</dc:creator>
  <cp:keywords/>
  <dc:description/>
  <cp:lastModifiedBy>Juan Camilo Bejarano Bejarano</cp:lastModifiedBy>
  <cp:revision>1</cp:revision>
  <dcterms:created xsi:type="dcterms:W3CDTF">2015-01-27T11:58:00Z</dcterms:created>
  <dcterms:modified xsi:type="dcterms:W3CDTF">2015-01-27T11:59:00Z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0x010100F4A821D7075CC4478FA4DD69826BB194</vt:lpwstr>
  </property>
</Properties>
</file>